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hint="eastAsia"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2021年接收推荐免试攻读硕士学位研究生（含直博生）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本文件依据《中国石油大学（北京）2020年硕士招生</w:t>
      </w:r>
      <w:r>
        <w:rPr>
          <w:rFonts w:hint="eastAsia" w:eastAsia="仿宋_GB2312"/>
          <w:bCs/>
          <w:kern w:val="0"/>
          <w:sz w:val="24"/>
        </w:rPr>
        <w:t>复试</w:t>
      </w:r>
      <w:r>
        <w:rPr>
          <w:rFonts w:eastAsia="仿宋_GB2312"/>
          <w:bCs/>
          <w:kern w:val="0"/>
          <w:sz w:val="24"/>
        </w:rPr>
        <w:t>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eastAsia="仿宋_GB2312"/>
          <w:b/>
          <w:kern w:val="0"/>
          <w:sz w:val="24"/>
        </w:rPr>
        <w:t>考生本人现场承诺：我已知晓并遵守《研究生面试考生诚信承诺书》的所有内容，我保证诚信面试，不营私舞弊，不私自对面试过程录像录音，不将面试过程对外泄露，所在场所没有其他人或考试相关材料。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2020年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月2</w:t>
      </w:r>
      <w:r>
        <w:rPr>
          <w:rFonts w:hint="eastAsia" w:eastAsia="仿宋_GB2312"/>
          <w:bCs/>
          <w:kern w:val="0"/>
          <w:sz w:val="24"/>
          <w:lang w:val="en-US" w:eastAsia="zh-CN"/>
        </w:rPr>
        <w:t>5</w:t>
      </w:r>
      <w:bookmarkStart w:id="1" w:name="_GoBack"/>
      <w:bookmarkEnd w:id="1"/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F08CB"/>
    <w:rsid w:val="13166A25"/>
    <w:rsid w:val="3F186E64"/>
    <w:rsid w:val="44985613"/>
    <w:rsid w:val="67D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1363</Characters>
  <Lines>11</Lines>
  <Paragraphs>3</Paragraphs>
  <TotalTime>20</TotalTime>
  <ScaleCrop>false</ScaleCrop>
  <LinksUpToDate>false</LinksUpToDate>
  <CharactersWithSpaces>1599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2020-09-25T06:21:59Z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