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A954" w14:textId="77777777" w:rsidR="00916930" w:rsidRDefault="00916930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地球物理学院关于开展</w:t>
      </w:r>
    </w:p>
    <w:p w14:paraId="350D97AF" w14:textId="4B9BF235" w:rsidR="008E3E8C" w:rsidRDefault="00000000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2023年“宪法宣传周”系列活动的通知</w:t>
      </w:r>
    </w:p>
    <w:p w14:paraId="6580E2CC" w14:textId="2175F037" w:rsidR="008E3E8C" w:rsidRDefault="00000000">
      <w:pPr>
        <w:widowControl/>
        <w:shd w:val="clear" w:color="auto" w:fill="FFFFFF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</w:t>
      </w:r>
      <w:r w:rsidR="00916930">
        <w:rPr>
          <w:rFonts w:ascii="仿宋" w:eastAsia="仿宋" w:hAnsi="仿宋" w:cs="仿宋" w:hint="eastAsia"/>
          <w:sz w:val="28"/>
          <w:szCs w:val="28"/>
        </w:rPr>
        <w:t>党支部、团支部、学生组织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14:paraId="1C899E3A" w14:textId="77777777" w:rsidR="008E3E8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为深入学习贯彻党的二十大精神，贯彻落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实习近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平法治思想和习近平总书记关于宪法法治教育的重要指示精神，进一步提升宪法法治观念，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营造学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宪法、讲宪法、拥护宪法的良好氛围，现开展“宪法宣传周”系列活动，具体事项如下：</w:t>
      </w:r>
      <w:r>
        <w:rPr>
          <w:rFonts w:ascii="仿宋" w:eastAsia="仿宋" w:hAnsi="仿宋" w:cs="仿宋" w:hint="eastAsia"/>
          <w:sz w:val="28"/>
          <w:szCs w:val="28"/>
        </w:rPr>
        <w:br/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</w:rPr>
        <w:t>一、活动主题</w:t>
      </w:r>
    </w:p>
    <w:p w14:paraId="6687E30C" w14:textId="77777777" w:rsidR="008E3E8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大力弘扬宪法精神，建设社会主义法治文化</w:t>
      </w:r>
    </w:p>
    <w:p w14:paraId="061E243F" w14:textId="77777777" w:rsidR="008E3E8C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二、相关活动</w:t>
      </w:r>
    </w:p>
    <w:p w14:paraId="4D61330B" w14:textId="2CBB3AF1" w:rsidR="008E3E8C" w:rsidRDefault="00000000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（一）扎实开展宪法专题知识学习。</w:t>
      </w:r>
      <w:r>
        <w:rPr>
          <w:rFonts w:ascii="仿宋" w:eastAsia="仿宋" w:hAnsi="仿宋" w:hint="eastAsia"/>
          <w:sz w:val="28"/>
          <w:szCs w:val="28"/>
        </w:rPr>
        <w:t>结合党员组织生活会、学生专题党团日活动等开展宪法知识学习，增强学生学法守法的积极性和主动性，争做懂法守法好公民</w:t>
      </w:r>
      <w:r w:rsidR="00F547E4">
        <w:rPr>
          <w:rFonts w:ascii="仿宋" w:eastAsia="仿宋" w:hAnsi="仿宋" w:hint="eastAsia"/>
          <w:sz w:val="28"/>
          <w:szCs w:val="28"/>
        </w:rPr>
        <w:t>，在附件</w:t>
      </w:r>
      <w:r w:rsidR="00F547E4">
        <w:rPr>
          <w:rFonts w:ascii="仿宋" w:eastAsia="仿宋" w:hAnsi="仿宋"/>
          <w:sz w:val="28"/>
          <w:szCs w:val="28"/>
        </w:rPr>
        <w:t>1</w:t>
      </w:r>
      <w:r w:rsidR="00F547E4">
        <w:rPr>
          <w:rFonts w:ascii="仿宋" w:eastAsia="仿宋" w:hAnsi="仿宋" w:hint="eastAsia"/>
          <w:sz w:val="28"/>
          <w:szCs w:val="28"/>
        </w:rPr>
        <w:t>中填写专题学习开展情况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4F002A4" w14:textId="25D1087E" w:rsidR="008E3E8C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（二）持续推动实施“宪法卫士”行动计划、宪法歌曲传唱。</w:t>
      </w:r>
      <w:r>
        <w:rPr>
          <w:rFonts w:ascii="仿宋" w:eastAsia="仿宋" w:hAnsi="仿宋" w:hint="eastAsia"/>
          <w:sz w:val="28"/>
          <w:szCs w:val="28"/>
        </w:rPr>
        <w:t>组织学生参加“学宪法讲宪法”活动网络学习和“宪法卫士”行动计划。“宪法卫士”活动将于</w:t>
      </w:r>
      <w:r>
        <w:rPr>
          <w:rFonts w:ascii="仿宋" w:eastAsia="仿宋" w:hAnsi="仿宋" w:hint="eastAsia"/>
          <w:b/>
          <w:bCs/>
          <w:sz w:val="28"/>
          <w:szCs w:val="28"/>
        </w:rPr>
        <w:t>12月8日</w:t>
      </w:r>
      <w:r>
        <w:rPr>
          <w:rFonts w:ascii="仿宋" w:eastAsia="仿宋" w:hAnsi="仿宋" w:hint="eastAsia"/>
          <w:sz w:val="28"/>
          <w:szCs w:val="28"/>
        </w:rPr>
        <w:t>关闭，请在截止日期前充分动员学生积极参与此项活动</w:t>
      </w:r>
      <w:r w:rsidR="00F547E4">
        <w:rPr>
          <w:rFonts w:ascii="仿宋" w:eastAsia="仿宋" w:hAnsi="仿宋" w:hint="eastAsia"/>
          <w:sz w:val="28"/>
          <w:szCs w:val="28"/>
        </w:rPr>
        <w:t>，在附件1中填写参与人数</w:t>
      </w:r>
      <w:r>
        <w:rPr>
          <w:rFonts w:ascii="仿宋" w:eastAsia="仿宋" w:hAnsi="仿宋" w:hint="eastAsia"/>
          <w:sz w:val="28"/>
          <w:szCs w:val="28"/>
        </w:rPr>
        <w:t>。同时，广泛开展《</w:t>
      </w:r>
      <w:r w:rsidRPr="00FD16D7">
        <w:rPr>
          <w:rFonts w:ascii="仿宋" w:eastAsia="仿宋" w:hAnsi="仿宋" w:hint="eastAsia"/>
          <w:b/>
          <w:bCs/>
          <w:sz w:val="28"/>
          <w:szCs w:val="28"/>
        </w:rPr>
        <w:t>宪法伴我们成长》歌曲传唱</w:t>
      </w:r>
      <w:r>
        <w:rPr>
          <w:rFonts w:ascii="仿宋" w:eastAsia="仿宋" w:hAnsi="仿宋" w:hint="eastAsia"/>
          <w:sz w:val="28"/>
          <w:szCs w:val="28"/>
        </w:rPr>
        <w:t>活动，12月底前，各院通过教育部全国青少年普法网（qspfw.moe.gov.cn）上</w:t>
      </w:r>
      <w:proofErr w:type="gramStart"/>
      <w:r>
        <w:rPr>
          <w:rFonts w:ascii="仿宋" w:eastAsia="仿宋" w:hAnsi="仿宋" w:hint="eastAsia"/>
          <w:sz w:val="28"/>
          <w:szCs w:val="28"/>
        </w:rPr>
        <w:t>传优秀</w:t>
      </w:r>
      <w:proofErr w:type="gramEnd"/>
      <w:r>
        <w:rPr>
          <w:rFonts w:ascii="仿宋" w:eastAsia="仿宋" w:hAnsi="仿宋" w:hint="eastAsia"/>
          <w:sz w:val="28"/>
          <w:szCs w:val="28"/>
        </w:rPr>
        <w:t>传唱作品，</w:t>
      </w:r>
      <w:r w:rsidR="00FD16D7">
        <w:rPr>
          <w:rFonts w:ascii="仿宋" w:eastAsia="仿宋" w:hAnsi="仿宋" w:hint="eastAsia"/>
          <w:sz w:val="28"/>
          <w:szCs w:val="28"/>
        </w:rPr>
        <w:t>要求学院大学生组织（学生会、新青年协会、新闻中心以及研究生会）</w:t>
      </w:r>
      <w:r w:rsidR="00FD16D7">
        <w:rPr>
          <w:rFonts w:ascii="仿宋" w:eastAsia="仿宋" w:hAnsi="仿宋" w:hint="eastAsia"/>
          <w:b/>
          <w:bCs/>
          <w:sz w:val="28"/>
          <w:szCs w:val="28"/>
        </w:rPr>
        <w:t>各</w:t>
      </w:r>
      <w:r>
        <w:rPr>
          <w:rFonts w:ascii="仿宋" w:eastAsia="仿宋" w:hAnsi="仿宋" w:hint="eastAsia"/>
          <w:b/>
          <w:bCs/>
          <w:sz w:val="28"/>
          <w:szCs w:val="28"/>
        </w:rPr>
        <w:t>提交</w:t>
      </w:r>
      <w:r w:rsidR="00FD16D7"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件</w:t>
      </w:r>
      <w:r w:rsidR="00FD16D7">
        <w:rPr>
          <w:rFonts w:ascii="仿宋" w:eastAsia="仿宋" w:hAnsi="仿宋" w:hint="eastAsia"/>
          <w:b/>
          <w:bCs/>
          <w:sz w:val="28"/>
          <w:szCs w:val="28"/>
        </w:rPr>
        <w:t>传唱作品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b/>
          <w:bCs/>
          <w:sz w:val="28"/>
          <w:szCs w:val="28"/>
        </w:rPr>
        <w:t>参与情况需在总结报告中体现。</w:t>
      </w:r>
    </w:p>
    <w:p w14:paraId="582AECC9" w14:textId="43AED7DC" w:rsidR="00FD16D7" w:rsidRDefault="00FD16D7" w:rsidP="00FD16D7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9BE1E6" wp14:editId="3D9A92F4">
            <wp:extent cx="3941647" cy="2422599"/>
            <wp:effectExtent l="0" t="0" r="1905" b="0"/>
            <wp:docPr id="13711157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157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8951" cy="242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218A8" w14:textId="77777777" w:rsidR="008E3E8C" w:rsidRDefault="00000000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（三）集中开展宣传教育活动。</w:t>
      </w:r>
      <w:r>
        <w:rPr>
          <w:rFonts w:ascii="仿宋" w:eastAsia="仿宋" w:hAnsi="仿宋" w:hint="eastAsia"/>
          <w:sz w:val="28"/>
          <w:szCs w:val="28"/>
        </w:rPr>
        <w:t>依托党（团）日活动、主题班会等组织开展宪法知识竞赛和特色教育活动。将宪法宣传</w:t>
      </w:r>
      <w:r>
        <w:rPr>
          <w:rFonts w:ascii="仿宋" w:eastAsia="仿宋" w:hAnsi="仿宋" w:hint="eastAsia"/>
          <w:b/>
          <w:bCs/>
          <w:sz w:val="28"/>
          <w:szCs w:val="28"/>
        </w:rPr>
        <w:t>纳入大学生网络文化节作品征集活动</w:t>
      </w:r>
      <w:r>
        <w:rPr>
          <w:rFonts w:ascii="仿宋" w:eastAsia="仿宋" w:hAnsi="仿宋" w:hint="eastAsia"/>
          <w:sz w:val="28"/>
          <w:szCs w:val="28"/>
        </w:rPr>
        <w:t xml:space="preserve">，通过学院（研究院）公众号、新闻网等开展宪法宣传，营造浓郁氛围。 </w:t>
      </w:r>
    </w:p>
    <w:p w14:paraId="3398BF05" w14:textId="77777777" w:rsidR="008E3E8C" w:rsidRDefault="00000000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三、其他要求</w:t>
      </w:r>
    </w:p>
    <w:p w14:paraId="05E5026E" w14:textId="5864D0AC" w:rsidR="008E3E8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请认真落实普法责任制，切实担负起宪法学习教育责任。要围绕宪法主题，策划组织多形式、多层次的学习宣传活动；要创新形式载体，丰富方法手段，提升宪法教育影响力和感染力；要把集中宣传与日常教育结合，推动宪法真正走入日常生活。</w:t>
      </w:r>
    </w:p>
    <w:p w14:paraId="3D9AE0BF" w14:textId="725276B2" w:rsidR="008E3E8C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proofErr w:type="gramStart"/>
      <w:r>
        <w:rPr>
          <w:rFonts w:ascii="仿宋" w:eastAsia="仿宋" w:hAnsi="仿宋" w:hint="eastAsia"/>
          <w:sz w:val="28"/>
          <w:szCs w:val="28"/>
        </w:rPr>
        <w:t>请总结</w:t>
      </w:r>
      <w:proofErr w:type="gramEnd"/>
      <w:r>
        <w:rPr>
          <w:rFonts w:ascii="仿宋" w:eastAsia="仿宋" w:hAnsi="仿宋" w:hint="eastAsia"/>
          <w:sz w:val="28"/>
          <w:szCs w:val="28"/>
        </w:rPr>
        <w:t>宪法宣传教育经验做法并形成报告，字数</w:t>
      </w:r>
      <w:r>
        <w:rPr>
          <w:rFonts w:ascii="仿宋" w:eastAsia="仿宋" w:hAnsi="仿宋" w:hint="eastAsia"/>
          <w:b/>
          <w:bCs/>
          <w:sz w:val="28"/>
          <w:szCs w:val="28"/>
        </w:rPr>
        <w:t>500左右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b/>
          <w:bCs/>
          <w:sz w:val="28"/>
          <w:szCs w:val="28"/>
        </w:rPr>
        <w:t>至少包含</w:t>
      </w:r>
      <w:r w:rsidR="00F657A1"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z w:val="28"/>
          <w:szCs w:val="28"/>
        </w:rPr>
        <w:t>张反映活动内容</w:t>
      </w:r>
      <w:r>
        <w:rPr>
          <w:rFonts w:ascii="仿宋" w:eastAsia="仿宋" w:hAnsi="仿宋" w:hint="eastAsia"/>
          <w:sz w:val="28"/>
          <w:szCs w:val="28"/>
        </w:rPr>
        <w:t>的图片；报告内容需包含：宪法宣传周活动开展情况、参与学生数、活动过程和活动效果等。</w:t>
      </w:r>
    </w:p>
    <w:p w14:paraId="394EF358" w14:textId="6E92062E" w:rsidR="008E3E8C" w:rsidRDefault="00000000" w:rsidP="00FD16D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请于</w:t>
      </w:r>
      <w:r>
        <w:rPr>
          <w:rFonts w:ascii="仿宋" w:eastAsia="仿宋" w:hAnsi="仿宋" w:hint="eastAsia"/>
          <w:b/>
          <w:bCs/>
          <w:sz w:val="28"/>
          <w:szCs w:val="28"/>
        </w:rPr>
        <w:t>12月</w:t>
      </w:r>
      <w:r w:rsidR="00FD16D7">
        <w:rPr>
          <w:rFonts w:ascii="仿宋" w:eastAsia="仿宋" w:hAnsi="仿宋"/>
          <w:b/>
          <w:bCs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z w:val="28"/>
          <w:szCs w:val="28"/>
        </w:rPr>
        <w:t>日（周</w:t>
      </w:r>
      <w:r w:rsidR="00FD16D7">
        <w:rPr>
          <w:rFonts w:ascii="仿宋" w:eastAsia="仿宋" w:hAnsi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中午11：00前将</w:t>
      </w:r>
      <w:r>
        <w:rPr>
          <w:rFonts w:ascii="仿宋" w:eastAsia="仿宋" w:hAnsi="仿宋" w:hint="eastAsia"/>
          <w:b/>
          <w:bCs/>
          <w:sz w:val="28"/>
          <w:szCs w:val="28"/>
        </w:rPr>
        <w:t>总结报告</w:t>
      </w:r>
      <w:r w:rsidR="00F657A1">
        <w:rPr>
          <w:rFonts w:ascii="仿宋" w:eastAsia="仿宋" w:hAnsi="仿宋" w:hint="eastAsia"/>
          <w:b/>
          <w:bCs/>
          <w:sz w:val="28"/>
          <w:szCs w:val="28"/>
        </w:rPr>
        <w:t>（5</w:t>
      </w:r>
      <w:r w:rsidR="00F657A1">
        <w:rPr>
          <w:rFonts w:ascii="仿宋" w:eastAsia="仿宋" w:hAnsi="仿宋"/>
          <w:b/>
          <w:bCs/>
          <w:sz w:val="28"/>
          <w:szCs w:val="28"/>
        </w:rPr>
        <w:t>00</w:t>
      </w:r>
      <w:r w:rsidR="00F657A1">
        <w:rPr>
          <w:rFonts w:ascii="仿宋" w:eastAsia="仿宋" w:hAnsi="仿宋" w:hint="eastAsia"/>
          <w:b/>
          <w:bCs/>
          <w:sz w:val="28"/>
          <w:szCs w:val="28"/>
        </w:rPr>
        <w:t>字左右）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b/>
          <w:bCs/>
          <w:sz w:val="28"/>
          <w:szCs w:val="28"/>
        </w:rPr>
        <w:t>“宪法宣传周”系列活动汇总表</w:t>
      </w:r>
      <w:r>
        <w:rPr>
          <w:rFonts w:ascii="仿宋" w:eastAsia="仿宋" w:hAnsi="仿宋" w:hint="eastAsia"/>
          <w:sz w:val="28"/>
          <w:szCs w:val="28"/>
        </w:rPr>
        <w:t>提交至</w:t>
      </w:r>
      <w:proofErr w:type="gramStart"/>
      <w:r w:rsidR="00FD16D7">
        <w:rPr>
          <w:rFonts w:ascii="仿宋" w:eastAsia="仿宋" w:hAnsi="仿宋" w:hint="eastAsia"/>
          <w:sz w:val="28"/>
          <w:szCs w:val="28"/>
        </w:rPr>
        <w:t>学院公邮</w:t>
      </w:r>
      <w:proofErr w:type="gramEnd"/>
      <w:r w:rsidR="00FD16D7" w:rsidRPr="00FD16D7">
        <w:rPr>
          <w:rFonts w:ascii="仿宋" w:eastAsia="仿宋" w:hAnsi="仿宋"/>
          <w:b/>
          <w:bCs/>
          <w:sz w:val="28"/>
          <w:szCs w:val="28"/>
        </w:rPr>
        <w:t>cupb_dqwlxy@163.com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5956B18" w14:textId="77777777" w:rsidR="00F657A1" w:rsidRDefault="00F657A1" w:rsidP="00FD16D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24DA3C48" w14:textId="77777777" w:rsidR="008E3E8C" w:rsidRDefault="00000000">
      <w:pPr>
        <w:pStyle w:val="a3"/>
        <w:shd w:val="clear" w:color="auto" w:fill="FFFFFF"/>
        <w:spacing w:before="0" w:beforeAutospacing="0" w:after="105" w:afterAutospacing="0" w:line="480" w:lineRule="atLeast"/>
        <w:ind w:right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附件1：“宪法宣传周”系列活动汇总表</w:t>
      </w:r>
    </w:p>
    <w:p w14:paraId="63474A4E" w14:textId="77777777" w:rsidR="008E3E8C" w:rsidRDefault="008E3E8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481B015" w14:textId="2C9EA59E" w:rsidR="008E3E8C" w:rsidRDefault="004610F6">
      <w:pPr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地球物理学院</w:t>
      </w:r>
    </w:p>
    <w:p w14:paraId="5E4D0D96" w14:textId="1D7C2406" w:rsidR="008E3E8C" w:rsidRDefault="00000000">
      <w:pPr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 年 11 月 </w:t>
      </w:r>
      <w:r w:rsidR="004610F6"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14:paraId="5A227223" w14:textId="7F256371" w:rsidR="008E3E8C" w:rsidRPr="00F657A1" w:rsidRDefault="00000000" w:rsidP="00F657A1">
      <w:pPr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color w:val="333333"/>
        </w:rPr>
        <w:t>附件</w:t>
      </w:r>
      <w:r>
        <w:rPr>
          <w:rFonts w:hint="eastAsia"/>
          <w:color w:val="333333"/>
        </w:rPr>
        <w:t>1</w:t>
      </w:r>
    </w:p>
    <w:p w14:paraId="76819A74" w14:textId="621C2CD9" w:rsidR="008E3E8C" w:rsidRDefault="00000000">
      <w:pPr>
        <w:pStyle w:val="a3"/>
        <w:shd w:val="clear" w:color="auto" w:fill="FFFFFF"/>
        <w:spacing w:before="0" w:beforeAutospacing="0" w:after="105" w:afterAutospacing="0" w:line="480" w:lineRule="atLeast"/>
        <w:ind w:right="480"/>
        <w:jc w:val="center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“宪法宣传周”系列活动汇总表（-</w:t>
      </w:r>
      <w:r w:rsidR="004610F6">
        <w:rPr>
          <w:rFonts w:hint="eastAsia"/>
          <w:b/>
          <w:bCs/>
          <w:color w:val="333333"/>
          <w:sz w:val="28"/>
          <w:szCs w:val="28"/>
        </w:rPr>
        <w:t>地球物理</w:t>
      </w:r>
      <w:r>
        <w:rPr>
          <w:rFonts w:hint="eastAsia"/>
          <w:b/>
          <w:bCs/>
          <w:color w:val="333333"/>
          <w:sz w:val="28"/>
          <w:szCs w:val="28"/>
        </w:rPr>
        <w:t>学院）</w:t>
      </w:r>
    </w:p>
    <w:tbl>
      <w:tblPr>
        <w:tblStyle w:val="a4"/>
        <w:tblW w:w="9735" w:type="dxa"/>
        <w:jc w:val="center"/>
        <w:tblLook w:val="04A0" w:firstRow="1" w:lastRow="0" w:firstColumn="1" w:lastColumn="0" w:noHBand="0" w:noVBand="1"/>
      </w:tblPr>
      <w:tblGrid>
        <w:gridCol w:w="1143"/>
        <w:gridCol w:w="1173"/>
        <w:gridCol w:w="1252"/>
        <w:gridCol w:w="1509"/>
        <w:gridCol w:w="1172"/>
        <w:gridCol w:w="1156"/>
        <w:gridCol w:w="1143"/>
        <w:gridCol w:w="1187"/>
      </w:tblGrid>
      <w:tr w:rsidR="008E3E8C" w14:paraId="0F6CDC98" w14:textId="77777777">
        <w:trPr>
          <w:jc w:val="center"/>
        </w:trPr>
        <w:tc>
          <w:tcPr>
            <w:tcW w:w="1143" w:type="dxa"/>
          </w:tcPr>
          <w:p w14:paraId="650F4A00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173" w:type="dxa"/>
          </w:tcPr>
          <w:p w14:paraId="1696D791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时间</w:t>
            </w:r>
          </w:p>
        </w:tc>
        <w:tc>
          <w:tcPr>
            <w:tcW w:w="1252" w:type="dxa"/>
          </w:tcPr>
          <w:p w14:paraId="33D888EE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活动地点</w:t>
            </w:r>
          </w:p>
        </w:tc>
        <w:tc>
          <w:tcPr>
            <w:tcW w:w="1509" w:type="dxa"/>
          </w:tcPr>
          <w:p w14:paraId="1509CF3B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名称或主题</w:t>
            </w:r>
          </w:p>
        </w:tc>
        <w:tc>
          <w:tcPr>
            <w:tcW w:w="1172" w:type="dxa"/>
          </w:tcPr>
          <w:p w14:paraId="345FC9D3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活动内容</w:t>
            </w:r>
          </w:p>
        </w:tc>
        <w:tc>
          <w:tcPr>
            <w:tcW w:w="1156" w:type="dxa"/>
          </w:tcPr>
          <w:p w14:paraId="59CE70C1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参与人数</w:t>
            </w:r>
          </w:p>
        </w:tc>
        <w:tc>
          <w:tcPr>
            <w:tcW w:w="1143" w:type="dxa"/>
          </w:tcPr>
          <w:p w14:paraId="5FC8726E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联系人</w:t>
            </w:r>
          </w:p>
        </w:tc>
        <w:tc>
          <w:tcPr>
            <w:tcW w:w="1187" w:type="dxa"/>
          </w:tcPr>
          <w:p w14:paraId="27DAC965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电话</w:t>
            </w:r>
          </w:p>
        </w:tc>
      </w:tr>
      <w:tr w:rsidR="008E3E8C" w14:paraId="5FD00DB4" w14:textId="77777777">
        <w:trPr>
          <w:jc w:val="center"/>
        </w:trPr>
        <w:tc>
          <w:tcPr>
            <w:tcW w:w="1143" w:type="dxa"/>
          </w:tcPr>
          <w:p w14:paraId="5E576FD6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173" w:type="dxa"/>
          </w:tcPr>
          <w:p w14:paraId="5B6A3C8F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252" w:type="dxa"/>
          </w:tcPr>
          <w:p w14:paraId="15A20F4C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509" w:type="dxa"/>
          </w:tcPr>
          <w:p w14:paraId="053185D1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72" w:type="dxa"/>
          </w:tcPr>
          <w:p w14:paraId="57E76709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56" w:type="dxa"/>
          </w:tcPr>
          <w:p w14:paraId="6368A261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43" w:type="dxa"/>
          </w:tcPr>
          <w:p w14:paraId="402A4279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87" w:type="dxa"/>
          </w:tcPr>
          <w:p w14:paraId="3044F0A1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</w:tr>
      <w:tr w:rsidR="008E3E8C" w14:paraId="650A141C" w14:textId="77777777">
        <w:trPr>
          <w:jc w:val="center"/>
        </w:trPr>
        <w:tc>
          <w:tcPr>
            <w:tcW w:w="1143" w:type="dxa"/>
          </w:tcPr>
          <w:p w14:paraId="4BAA9B97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1173" w:type="dxa"/>
          </w:tcPr>
          <w:p w14:paraId="6B1FCA97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252" w:type="dxa"/>
          </w:tcPr>
          <w:p w14:paraId="3DAC01C9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509" w:type="dxa"/>
          </w:tcPr>
          <w:p w14:paraId="0ACD4A79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72" w:type="dxa"/>
          </w:tcPr>
          <w:p w14:paraId="00AEBE41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56" w:type="dxa"/>
          </w:tcPr>
          <w:p w14:paraId="4AC5833A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43" w:type="dxa"/>
          </w:tcPr>
          <w:p w14:paraId="16482A15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87" w:type="dxa"/>
          </w:tcPr>
          <w:p w14:paraId="698316AF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</w:tr>
      <w:tr w:rsidR="008E3E8C" w14:paraId="7C43AE1E" w14:textId="77777777">
        <w:trPr>
          <w:jc w:val="center"/>
        </w:trPr>
        <w:tc>
          <w:tcPr>
            <w:tcW w:w="1143" w:type="dxa"/>
          </w:tcPr>
          <w:p w14:paraId="4EB25C86" w14:textId="77777777" w:rsidR="008E3E8C" w:rsidRDefault="00000000">
            <w:pPr>
              <w:pStyle w:val="a3"/>
              <w:spacing w:before="0" w:beforeAutospacing="0" w:after="105" w:afterAutospacing="0" w:line="480" w:lineRule="atLeast"/>
              <w:ind w:right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1173" w:type="dxa"/>
          </w:tcPr>
          <w:p w14:paraId="2B945F2A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252" w:type="dxa"/>
          </w:tcPr>
          <w:p w14:paraId="7613A9F8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509" w:type="dxa"/>
          </w:tcPr>
          <w:p w14:paraId="6B6C7585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72" w:type="dxa"/>
          </w:tcPr>
          <w:p w14:paraId="3AE554D8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56" w:type="dxa"/>
          </w:tcPr>
          <w:p w14:paraId="0AF4C11B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43" w:type="dxa"/>
          </w:tcPr>
          <w:p w14:paraId="6AA0EC18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87" w:type="dxa"/>
          </w:tcPr>
          <w:p w14:paraId="3A8E32E7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</w:tr>
      <w:tr w:rsidR="008E3E8C" w14:paraId="500661A9" w14:textId="77777777">
        <w:trPr>
          <w:jc w:val="center"/>
        </w:trPr>
        <w:tc>
          <w:tcPr>
            <w:tcW w:w="1143" w:type="dxa"/>
          </w:tcPr>
          <w:p w14:paraId="4B7BABCF" w14:textId="1CFE11AA" w:rsidR="008E3E8C" w:rsidRDefault="004610F6">
            <w:pPr>
              <w:pStyle w:val="a3"/>
              <w:spacing w:before="0" w:beforeAutospacing="0" w:after="105" w:afterAutospacing="0" w:line="480" w:lineRule="atLeast"/>
              <w:ind w:right="48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1173" w:type="dxa"/>
          </w:tcPr>
          <w:p w14:paraId="627B083A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252" w:type="dxa"/>
          </w:tcPr>
          <w:p w14:paraId="24F785B8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509" w:type="dxa"/>
          </w:tcPr>
          <w:p w14:paraId="46D1A5DB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72" w:type="dxa"/>
          </w:tcPr>
          <w:p w14:paraId="73D49D5E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56" w:type="dxa"/>
          </w:tcPr>
          <w:p w14:paraId="3EA6250C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43" w:type="dxa"/>
          </w:tcPr>
          <w:p w14:paraId="06E8079E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87" w:type="dxa"/>
          </w:tcPr>
          <w:p w14:paraId="0E78EC1A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</w:tr>
      <w:tr w:rsidR="008E3E8C" w14:paraId="36BBB4CE" w14:textId="77777777">
        <w:trPr>
          <w:jc w:val="center"/>
        </w:trPr>
        <w:tc>
          <w:tcPr>
            <w:tcW w:w="1143" w:type="dxa"/>
          </w:tcPr>
          <w:p w14:paraId="1FDD5D6C" w14:textId="2B2E38FE" w:rsidR="008E3E8C" w:rsidRDefault="004610F6">
            <w:pPr>
              <w:pStyle w:val="a3"/>
              <w:spacing w:before="0" w:beforeAutospacing="0" w:after="105" w:afterAutospacing="0" w:line="480" w:lineRule="atLeast"/>
              <w:ind w:right="480"/>
              <w:jc w:val="center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173" w:type="dxa"/>
          </w:tcPr>
          <w:p w14:paraId="0A55C796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252" w:type="dxa"/>
          </w:tcPr>
          <w:p w14:paraId="17D686AF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509" w:type="dxa"/>
          </w:tcPr>
          <w:p w14:paraId="1BF99C1A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72" w:type="dxa"/>
          </w:tcPr>
          <w:p w14:paraId="51E65195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56" w:type="dxa"/>
          </w:tcPr>
          <w:p w14:paraId="0BD4AD8E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43" w:type="dxa"/>
          </w:tcPr>
          <w:p w14:paraId="7912CDB1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  <w:tc>
          <w:tcPr>
            <w:tcW w:w="1187" w:type="dxa"/>
          </w:tcPr>
          <w:p w14:paraId="6169E67A" w14:textId="77777777" w:rsidR="008E3E8C" w:rsidRDefault="008E3E8C">
            <w:pPr>
              <w:pStyle w:val="a3"/>
              <w:spacing w:before="0" w:beforeAutospacing="0" w:after="105" w:afterAutospacing="0" w:line="480" w:lineRule="atLeast"/>
              <w:ind w:right="480"/>
              <w:rPr>
                <w:color w:val="333333"/>
              </w:rPr>
            </w:pPr>
          </w:p>
        </w:tc>
      </w:tr>
    </w:tbl>
    <w:p w14:paraId="5A141E8C" w14:textId="77777777" w:rsidR="008E3E8C" w:rsidRDefault="008E3E8C">
      <w:pPr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sectPr w:rsidR="008E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EFF7" w14:textId="77777777" w:rsidR="004A5A09" w:rsidRDefault="004A5A09" w:rsidP="004610F6">
      <w:r>
        <w:separator/>
      </w:r>
    </w:p>
  </w:endnote>
  <w:endnote w:type="continuationSeparator" w:id="0">
    <w:p w14:paraId="112471F9" w14:textId="77777777" w:rsidR="004A5A09" w:rsidRDefault="004A5A09" w:rsidP="004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9D97C64-12FB-44AF-B459-149B5B71D18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2" w:subsetted="1" w:fontKey="{4DDA126A-CEAD-494C-84BC-722B0907D5A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63AAAEB-CB59-41DB-B7AA-160DD52E71BC}"/>
    <w:embedBold r:id="rId4" w:subsetted="1" w:fontKey="{62E44EE6-0FB5-42A5-B08C-93597E4A730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3637" w14:textId="77777777" w:rsidR="004A5A09" w:rsidRDefault="004A5A09" w:rsidP="004610F6">
      <w:r>
        <w:separator/>
      </w:r>
    </w:p>
  </w:footnote>
  <w:footnote w:type="continuationSeparator" w:id="0">
    <w:p w14:paraId="25587BF6" w14:textId="77777777" w:rsidR="004A5A09" w:rsidRDefault="004A5A09" w:rsidP="0046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0OGI1MmQwZjg0YjcxOWZlNGFiNTA3MGM5NmUwN2IifQ=="/>
  </w:docVars>
  <w:rsids>
    <w:rsidRoot w:val="008E3E8C"/>
    <w:rsid w:val="004610F6"/>
    <w:rsid w:val="004A5A09"/>
    <w:rsid w:val="008E3E8C"/>
    <w:rsid w:val="00916930"/>
    <w:rsid w:val="00F547E4"/>
    <w:rsid w:val="00F657A1"/>
    <w:rsid w:val="00FD16D7"/>
    <w:rsid w:val="06B351CA"/>
    <w:rsid w:val="06F46833"/>
    <w:rsid w:val="08050757"/>
    <w:rsid w:val="0A2437B4"/>
    <w:rsid w:val="14746827"/>
    <w:rsid w:val="15F06F14"/>
    <w:rsid w:val="16930FED"/>
    <w:rsid w:val="17141EB2"/>
    <w:rsid w:val="17B005EC"/>
    <w:rsid w:val="19952471"/>
    <w:rsid w:val="1C2A481A"/>
    <w:rsid w:val="21CA0945"/>
    <w:rsid w:val="21CB5E66"/>
    <w:rsid w:val="27971B39"/>
    <w:rsid w:val="2AC0210F"/>
    <w:rsid w:val="2F170904"/>
    <w:rsid w:val="391060DB"/>
    <w:rsid w:val="3B8D4B00"/>
    <w:rsid w:val="3DA908AC"/>
    <w:rsid w:val="3E767744"/>
    <w:rsid w:val="3F47116B"/>
    <w:rsid w:val="4EE96276"/>
    <w:rsid w:val="4F10078B"/>
    <w:rsid w:val="514E5C3F"/>
    <w:rsid w:val="576B67F6"/>
    <w:rsid w:val="57A63600"/>
    <w:rsid w:val="5D43680A"/>
    <w:rsid w:val="5E0F4699"/>
    <w:rsid w:val="5E966EBF"/>
    <w:rsid w:val="62326812"/>
    <w:rsid w:val="6F33685B"/>
    <w:rsid w:val="7D2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3C80C"/>
  <w15:docId w15:val="{24D22604-A07E-4B77-9731-A2467B15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rsid w:val="004610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610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6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610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嘉雯 钟</cp:lastModifiedBy>
  <cp:revision>6</cp:revision>
  <dcterms:created xsi:type="dcterms:W3CDTF">2023-11-29T07:50:00Z</dcterms:created>
  <dcterms:modified xsi:type="dcterms:W3CDTF">2023-11-30T01:32:00Z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882F54280A2B4B2EAF636155DA538F54_13</vt:lpwstr>
  </property>
</Properties>
</file>