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ascii="黑体" w:hAnsi="黑体" w:eastAsia="黑体"/>
          <w:b/>
          <w:sz w:val="32"/>
          <w:szCs w:val="32"/>
        </w:rPr>
        <w:t>公示内容</w:t>
      </w:r>
    </w:p>
    <w:p>
      <w:pPr>
        <w:numPr>
          <w:ilvl w:val="0"/>
          <w:numId w:val="1"/>
        </w:numPr>
        <w:spacing w:line="360" w:lineRule="auto"/>
        <w:rPr>
          <w:rFonts w:ascii="微软雅黑" w:hAnsi="微软雅黑" w:eastAsia="微软雅黑"/>
          <w:bCs/>
          <w:sz w:val="24"/>
          <w:szCs w:val="24"/>
        </w:rPr>
      </w:pPr>
      <w:r>
        <w:rPr>
          <w:rFonts w:hint="eastAsia" w:ascii="微软雅黑" w:hAnsi="微软雅黑" w:eastAsia="微软雅黑"/>
          <w:b/>
          <w:sz w:val="24"/>
          <w:szCs w:val="24"/>
        </w:rPr>
        <w:t>成果</w:t>
      </w:r>
      <w:r>
        <w:rPr>
          <w:rFonts w:ascii="微软雅黑" w:hAnsi="微软雅黑" w:eastAsia="微软雅黑"/>
          <w:b/>
          <w:bCs w:val="0"/>
          <w:sz w:val="24"/>
          <w:szCs w:val="24"/>
        </w:rPr>
        <w:t>名称：</w:t>
      </w:r>
      <w:r>
        <w:rPr>
          <w:rFonts w:hint="eastAsia" w:ascii="微软雅黑" w:hAnsi="微软雅黑" w:eastAsia="微软雅黑"/>
          <w:b w:val="0"/>
          <w:bCs/>
          <w:sz w:val="24"/>
          <w:szCs w:val="24"/>
        </w:rPr>
        <w:t>南海北缘中东部深层油气勘探钻完井关键技术创新与工业化应用</w:t>
      </w:r>
    </w:p>
    <w:p>
      <w:pPr>
        <w:numPr>
          <w:ilvl w:val="0"/>
          <w:numId w:val="1"/>
        </w:numPr>
        <w:spacing w:line="360" w:lineRule="auto"/>
        <w:rPr>
          <w:rFonts w:ascii="微软雅黑" w:hAnsi="微软雅黑" w:eastAsia="微软雅黑"/>
          <w:b/>
          <w:sz w:val="24"/>
          <w:szCs w:val="24"/>
        </w:rPr>
      </w:pPr>
      <w:r>
        <w:rPr>
          <w:rFonts w:hint="eastAsia" w:ascii="微软雅黑" w:hAnsi="微软雅黑" w:eastAsia="微软雅黑"/>
          <w:b/>
          <w:sz w:val="24"/>
          <w:szCs w:val="24"/>
        </w:rPr>
        <w:t>主要</w:t>
      </w:r>
      <w:r>
        <w:rPr>
          <w:rFonts w:ascii="微软雅黑" w:hAnsi="微软雅黑" w:eastAsia="微软雅黑"/>
          <w:b/>
          <w:sz w:val="24"/>
          <w:szCs w:val="24"/>
        </w:rPr>
        <w:t>完成单位：</w:t>
      </w:r>
      <w:r>
        <w:rPr>
          <w:rFonts w:hint="eastAsia" w:ascii="微软雅黑" w:hAnsi="微软雅黑" w:eastAsia="微软雅黑"/>
          <w:b w:val="0"/>
          <w:bCs/>
          <w:sz w:val="24"/>
          <w:szCs w:val="24"/>
        </w:rPr>
        <w:t>中海石油（中国）有限公司深圳分公司</w:t>
      </w:r>
      <w:r>
        <w:rPr>
          <w:rFonts w:hint="eastAsia" w:ascii="微软雅黑" w:hAnsi="微软雅黑" w:eastAsia="微软雅黑"/>
          <w:b w:val="0"/>
          <w:bCs/>
          <w:sz w:val="24"/>
          <w:szCs w:val="24"/>
          <w:lang w:eastAsia="zh-CN"/>
        </w:rPr>
        <w:t>；</w:t>
      </w:r>
      <w:r>
        <w:rPr>
          <w:rFonts w:hint="eastAsia" w:ascii="微软雅黑" w:hAnsi="微软雅黑" w:eastAsia="微软雅黑"/>
          <w:b w:val="0"/>
          <w:bCs/>
          <w:sz w:val="24"/>
          <w:szCs w:val="24"/>
        </w:rPr>
        <w:t>中国石油大学（北京）</w:t>
      </w:r>
      <w:r>
        <w:rPr>
          <w:rFonts w:hint="eastAsia" w:ascii="微软雅黑" w:hAnsi="微软雅黑" w:eastAsia="微软雅黑"/>
          <w:b w:val="0"/>
          <w:bCs/>
          <w:sz w:val="24"/>
          <w:szCs w:val="24"/>
          <w:lang w:eastAsia="zh-CN"/>
        </w:rPr>
        <w:t>；</w:t>
      </w:r>
      <w:r>
        <w:rPr>
          <w:rFonts w:hint="eastAsia" w:ascii="微软雅黑" w:hAnsi="微软雅黑" w:eastAsia="微软雅黑"/>
          <w:b w:val="0"/>
          <w:bCs/>
          <w:sz w:val="24"/>
          <w:szCs w:val="24"/>
        </w:rPr>
        <w:t>中国石油大学（华东）</w:t>
      </w:r>
      <w:r>
        <w:rPr>
          <w:rFonts w:hint="eastAsia" w:ascii="微软雅黑" w:hAnsi="微软雅黑" w:eastAsia="微软雅黑"/>
          <w:b w:val="0"/>
          <w:bCs/>
          <w:sz w:val="24"/>
          <w:szCs w:val="24"/>
          <w:lang w:eastAsia="zh-CN"/>
        </w:rPr>
        <w:t>；</w:t>
      </w:r>
      <w:r>
        <w:rPr>
          <w:rFonts w:hint="eastAsia" w:ascii="微软雅黑" w:hAnsi="微软雅黑" w:eastAsia="微软雅黑"/>
          <w:b w:val="0"/>
          <w:bCs/>
          <w:sz w:val="24"/>
          <w:szCs w:val="24"/>
        </w:rPr>
        <w:t>中海油田服务股份有限公司深圳分公司</w:t>
      </w:r>
      <w:r>
        <w:rPr>
          <w:rFonts w:hint="eastAsia" w:ascii="微软雅黑" w:hAnsi="微软雅黑" w:eastAsia="微软雅黑"/>
          <w:b w:val="0"/>
          <w:bCs/>
          <w:sz w:val="24"/>
          <w:szCs w:val="24"/>
          <w:lang w:eastAsia="zh-CN"/>
        </w:rPr>
        <w:t>；</w:t>
      </w:r>
      <w:r>
        <w:rPr>
          <w:rFonts w:hint="eastAsia" w:ascii="微软雅黑" w:hAnsi="微软雅黑" w:eastAsia="微软雅黑"/>
          <w:b w:val="0"/>
          <w:bCs/>
          <w:sz w:val="24"/>
          <w:szCs w:val="24"/>
        </w:rPr>
        <w:t>深圳市阿特拉能源技术有限公司</w:t>
      </w:r>
    </w:p>
    <w:p>
      <w:pPr>
        <w:numPr>
          <w:ilvl w:val="0"/>
          <w:numId w:val="1"/>
        </w:numPr>
        <w:spacing w:line="360" w:lineRule="auto"/>
        <w:rPr>
          <w:rFonts w:ascii="微软雅黑" w:hAnsi="微软雅黑" w:eastAsia="微软雅黑"/>
          <w:b/>
          <w:sz w:val="24"/>
          <w:szCs w:val="24"/>
        </w:rPr>
      </w:pPr>
      <w:r>
        <w:rPr>
          <w:rFonts w:hint="eastAsia" w:ascii="微软雅黑" w:hAnsi="微软雅黑" w:eastAsia="微软雅黑"/>
          <w:b/>
          <w:sz w:val="24"/>
          <w:szCs w:val="24"/>
        </w:rPr>
        <w:t>主要</w:t>
      </w:r>
      <w:r>
        <w:rPr>
          <w:rFonts w:ascii="微软雅黑" w:hAnsi="微软雅黑" w:eastAsia="微软雅黑"/>
          <w:b/>
          <w:sz w:val="24"/>
          <w:szCs w:val="24"/>
        </w:rPr>
        <w:t>完成人：</w:t>
      </w:r>
      <w:r>
        <w:rPr>
          <w:rFonts w:hint="eastAsia" w:ascii="微软雅黑" w:hAnsi="微软雅黑" w:eastAsia="微软雅黑"/>
          <w:b w:val="0"/>
          <w:bCs/>
          <w:sz w:val="24"/>
          <w:szCs w:val="24"/>
        </w:rPr>
        <w:t>饶志华，王宴滨，鲁毅，杜庆杰，秦世利，张自印，焦阳，游尧，孙小辉，雷鸿，邓文杨，李波，张冠洪，赵远远，刘坤翔</w:t>
      </w:r>
    </w:p>
    <w:p>
      <w:pPr>
        <w:numPr>
          <w:ilvl w:val="0"/>
          <w:numId w:val="1"/>
        </w:numPr>
        <w:spacing w:line="360" w:lineRule="auto"/>
        <w:rPr>
          <w:rFonts w:ascii="微软雅黑" w:hAnsi="微软雅黑" w:eastAsia="微软雅黑"/>
          <w:b/>
          <w:sz w:val="24"/>
          <w:szCs w:val="24"/>
        </w:rPr>
      </w:pPr>
      <w:r>
        <w:rPr>
          <w:rFonts w:hint="eastAsia" w:ascii="微软雅黑" w:hAnsi="微软雅黑" w:eastAsia="微软雅黑"/>
          <w:b/>
          <w:sz w:val="24"/>
          <w:szCs w:val="24"/>
        </w:rPr>
        <w:t>申报奖项：</w:t>
      </w:r>
      <w:r>
        <w:rPr>
          <w:rFonts w:hint="eastAsia" w:ascii="微软雅黑" w:hAnsi="微软雅黑" w:eastAsia="微软雅黑"/>
          <w:bCs/>
          <w:sz w:val="24"/>
          <w:szCs w:val="24"/>
        </w:rPr>
        <w:t>中国石油和化学工业联合会科技进步</w:t>
      </w:r>
      <w:r>
        <w:rPr>
          <w:rFonts w:hint="eastAsia" w:ascii="微软雅黑" w:hAnsi="微软雅黑" w:eastAsia="微软雅黑"/>
          <w:bCs/>
          <w:sz w:val="24"/>
          <w:szCs w:val="24"/>
          <w:lang w:val="en-US" w:eastAsia="zh-CN"/>
        </w:rPr>
        <w:t>奖</w:t>
      </w:r>
    </w:p>
    <w:p>
      <w:pPr>
        <w:numPr>
          <w:ilvl w:val="0"/>
          <w:numId w:val="1"/>
        </w:numPr>
        <w:spacing w:line="360" w:lineRule="auto"/>
        <w:rPr>
          <w:rFonts w:ascii="微软雅黑" w:hAnsi="微软雅黑" w:eastAsia="微软雅黑"/>
          <w:b/>
          <w:sz w:val="24"/>
          <w:szCs w:val="24"/>
        </w:rPr>
      </w:pPr>
      <w:r>
        <w:rPr>
          <w:rFonts w:hint="eastAsia" w:ascii="微软雅黑" w:hAnsi="微软雅黑" w:eastAsia="微软雅黑"/>
          <w:b/>
          <w:sz w:val="24"/>
          <w:szCs w:val="24"/>
        </w:rPr>
        <w:t>评奖组织单位：</w:t>
      </w:r>
      <w:r>
        <w:rPr>
          <w:rFonts w:hint="eastAsia" w:ascii="微软雅黑" w:hAnsi="微软雅黑" w:eastAsia="微软雅黑"/>
          <w:b w:val="0"/>
          <w:bCs/>
          <w:sz w:val="24"/>
          <w:szCs w:val="24"/>
        </w:rPr>
        <w:t>中国石油和化学工业联合会</w:t>
      </w:r>
      <w:bookmarkStart w:id="0" w:name="_GoBack"/>
      <w:bookmarkEnd w:id="0"/>
    </w:p>
    <w:p>
      <w:pPr>
        <w:numPr>
          <w:ilvl w:val="0"/>
          <w:numId w:val="1"/>
        </w:numPr>
        <w:spacing w:line="360" w:lineRule="auto"/>
        <w:rPr>
          <w:rFonts w:hint="eastAsia" w:ascii="微软雅黑" w:hAnsi="微软雅黑" w:eastAsia="微软雅黑" w:cs="Times New Roman"/>
          <w:b/>
          <w:sz w:val="24"/>
          <w:szCs w:val="24"/>
        </w:rPr>
      </w:pPr>
      <w:r>
        <w:rPr>
          <w:rFonts w:hint="eastAsia" w:ascii="微软雅黑" w:hAnsi="微软雅黑" w:eastAsia="微软雅黑" w:cs="Times New Roman"/>
          <w:b/>
          <w:sz w:val="24"/>
          <w:szCs w:val="24"/>
        </w:rPr>
        <w:t>成果简介：</w:t>
      </w:r>
    </w:p>
    <w:p>
      <w:pPr>
        <w:spacing w:line="360" w:lineRule="auto"/>
        <w:ind w:firstLine="480" w:firstLineChars="200"/>
        <w:rPr>
          <w:rFonts w:hint="eastAsia" w:ascii="微软雅黑" w:hAnsi="微软雅黑" w:eastAsia="微软雅黑" w:cs="微软雅黑"/>
          <w:b w:val="0"/>
          <w:bCs/>
          <w:sz w:val="24"/>
          <w:szCs w:val="24"/>
          <w:lang w:val="en-US" w:eastAsia="zh-CN"/>
        </w:rPr>
      </w:pPr>
      <w:r>
        <w:rPr>
          <w:rFonts w:hint="eastAsia" w:ascii="微软雅黑" w:hAnsi="微软雅黑" w:eastAsia="微软雅黑"/>
          <w:b w:val="0"/>
          <w:bCs/>
          <w:sz w:val="24"/>
          <w:szCs w:val="24"/>
        </w:rPr>
        <w:t>南海北缘中东部</w:t>
      </w:r>
      <w:r>
        <w:rPr>
          <w:rFonts w:hint="eastAsia" w:ascii="微软雅黑" w:hAnsi="微软雅黑" w:eastAsia="微软雅黑" w:cs="微软雅黑"/>
          <w:b w:val="0"/>
          <w:bCs/>
          <w:sz w:val="24"/>
          <w:szCs w:val="24"/>
          <w:lang w:val="en-US" w:eastAsia="zh-CN"/>
        </w:rPr>
        <w:t>蕴藏着丰富的深层油气资源，其中深层低渗储量超2亿吨，在勘探开发过程中，因油气藏具有埋深大、压力系统复杂等突出特征，致使复杂地层安全钻井、产能释放与建井成本矛盾突出，近十年来依托国家科技重大专项等开展技术攻关和工程实践，攻克了</w:t>
      </w:r>
      <w:r>
        <w:rPr>
          <w:rFonts w:hint="eastAsia" w:ascii="微软雅黑" w:hAnsi="微软雅黑" w:eastAsia="微软雅黑"/>
          <w:b w:val="0"/>
          <w:bCs/>
          <w:sz w:val="24"/>
          <w:szCs w:val="24"/>
        </w:rPr>
        <w:t>南海北缘中东部</w:t>
      </w:r>
      <w:r>
        <w:rPr>
          <w:rFonts w:hint="eastAsia" w:ascii="微软雅黑" w:hAnsi="微软雅黑" w:eastAsia="微软雅黑" w:cs="微软雅黑"/>
          <w:b w:val="0"/>
          <w:bCs/>
          <w:sz w:val="24"/>
          <w:szCs w:val="24"/>
          <w:lang w:val="en-US" w:eastAsia="zh-CN"/>
        </w:rPr>
        <w:t>深层油气勘探钻完井过程中的核心技术瓶颈，在深部复杂地层安全高效钻井、井筒完整性保障和海上深井安全测试与产能快速评价方面取得了重大突破，</w:t>
      </w:r>
      <w:r>
        <w:rPr>
          <w:rFonts w:hint="default" w:ascii="微软雅黑" w:hAnsi="微软雅黑" w:eastAsia="微软雅黑" w:cs="微软雅黑"/>
          <w:b w:val="0"/>
          <w:bCs/>
          <w:sz w:val="24"/>
          <w:szCs w:val="24"/>
          <w:lang w:val="en-US" w:eastAsia="zh-CN"/>
        </w:rPr>
        <w:t>实现规模化应用并取得显著效益</w:t>
      </w:r>
      <w:r>
        <w:rPr>
          <w:rFonts w:hint="eastAsia" w:ascii="微软雅黑" w:hAnsi="微软雅黑" w:eastAsia="微软雅黑" w:cs="微软雅黑"/>
          <w:b w:val="0"/>
          <w:bCs/>
          <w:sz w:val="24"/>
          <w:szCs w:val="24"/>
          <w:lang w:val="en-US" w:eastAsia="zh-CN"/>
        </w:rPr>
        <w:t>。</w:t>
      </w:r>
    </w:p>
    <w:p>
      <w:pPr>
        <w:numPr>
          <w:ilvl w:val="0"/>
          <w:numId w:val="1"/>
        </w:numPr>
        <w:spacing w:line="360" w:lineRule="auto"/>
        <w:rPr>
          <w:rFonts w:ascii="微软雅黑" w:hAnsi="微软雅黑" w:eastAsia="微软雅黑"/>
          <w:b/>
          <w:sz w:val="24"/>
          <w:szCs w:val="24"/>
        </w:rPr>
      </w:pPr>
      <w:r>
        <w:rPr>
          <w:rFonts w:hint="eastAsia" w:ascii="微软雅黑" w:hAnsi="微软雅黑" w:eastAsia="微软雅黑"/>
          <w:b/>
          <w:sz w:val="24"/>
          <w:szCs w:val="24"/>
        </w:rPr>
        <w:t>主要创新点或亮点</w:t>
      </w:r>
      <w:r>
        <w:rPr>
          <w:rFonts w:ascii="微软雅黑" w:hAnsi="微软雅黑" w:eastAsia="微软雅黑"/>
          <w:b/>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创新点1：形成了深层“三高”复杂地层安全高效钻井技术体系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创建多源信息融合的压力-温度-应力耦合预测方法，建立了基于神经网络的地层压力实时反演方法，深层复杂地层钻井安全压力窗口动态识别精度提升至94%以上。研发纳米复合钻井液体系，创新随钻连续增强防漏堵漏理念，实现400μm裂缝有效封堵，配套新型页岩水化抑制剂使易坍塌井段坍塌周期延长30%-120%。提出“双深双高”油气井风险识别与井控技术，构建了物理模型与实时数据联合驱动的井筒压力智能预测方法，计算精度提升至95%以上。研制新型射流钻头，建立机械比能与复合钻进参数优化方法，大幅缩短建井周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创新点2：创建了极端条件下井筒完整性保障技术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构建井筒全生命周期瞬态温压场预测模型及环空带压预测模型，综合考虑温度突变、地层热响应及流体渗入等因素，温压预测精度达95%。建立套管-水泥环-地层组合体力学模型，引入水泥环弹塑性本构关系与界面接触行为，揭示温压耦合下水泥环开裂、脱粘的失效机制。创新套管强度校核与井身结构优化方法，通过轴向载荷、压差、热应力耦合分析，实现安全与经济性协同提升。构建“识别-评估-控制”井筒完整性风险评价体系，涵盖井壁稳定、水泥环失效等多维度评价指标。研发抗高抗温韧性水泥浆体系；自主研制耐高温井下封隔器，打破国外技术垄断。</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创新点3：构建了海上深井安全测试与产能快速评价技术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微软雅黑" w:cs="微软雅黑"/>
          <w:b w:val="0"/>
          <w:bCs/>
          <w:sz w:val="24"/>
          <w:szCs w:val="24"/>
          <w:lang w:val="en-US" w:eastAsia="zh-CN"/>
        </w:rPr>
      </w:pPr>
      <w:r>
        <w:rPr>
          <w:rFonts w:hint="eastAsia" w:ascii="微软雅黑" w:hAnsi="微软雅黑" w:eastAsia="微软雅黑" w:cs="微软雅黑"/>
          <w:b w:val="0"/>
          <w:bCs/>
          <w:sz w:val="24"/>
          <w:szCs w:val="24"/>
          <w:lang w:val="en-US" w:eastAsia="zh-CN"/>
        </w:rPr>
        <w:t>研发了高温低孔低渗的储层保护井筒工作液。创新热举高效排液泵技术，建立泵内及井筒温压场计算模型，解决常规排液技术受限难题。创建了深部复杂地层低渗储层一趟式管柱高效测试技术，集成一趟式下入打孔管+刮管洗井技术、一趟式射孔+裸眼测试技术、深水一趟式酸化测试技术，实现测试作业工期大幅降低，减少储层浸泡时间，实现海上深井产能快速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36C4E"/>
    <w:multiLevelType w:val="singleLevel"/>
    <w:tmpl w:val="8E736C4E"/>
    <w:lvl w:ilvl="0" w:tentative="0">
      <w:start w:val="1"/>
      <w:numFmt w:val="chineseCounting"/>
      <w:suff w:val="space"/>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D0240"/>
    <w:rsid w:val="1AF22944"/>
    <w:rsid w:val="1EB03736"/>
    <w:rsid w:val="265E6162"/>
    <w:rsid w:val="2E495E62"/>
    <w:rsid w:val="2F3C2E6E"/>
    <w:rsid w:val="547A3636"/>
    <w:rsid w:val="54B576DE"/>
    <w:rsid w:val="5A7F1ED4"/>
    <w:rsid w:val="645D0240"/>
    <w:rsid w:val="6A151116"/>
    <w:rsid w:val="753F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宋体"/>
      <w:sz w:val="24"/>
    </w:rPr>
  </w:style>
  <w:style w:type="paragraph" w:styleId="3">
    <w:name w:val="Title"/>
    <w:basedOn w:val="1"/>
    <w:next w:val="1"/>
    <w:unhideWhenUsed/>
    <w:qFormat/>
    <w:uiPriority w:val="10"/>
    <w:pPr>
      <w:spacing w:before="240" w:after="60"/>
      <w:jc w:val="center"/>
      <w:outlineLvl w:val="0"/>
    </w:pPr>
    <w:rPr>
      <w:rFonts w:hAnsi="Arial"/>
      <w:b/>
      <w:sz w:val="21"/>
      <w:szCs w:val="24"/>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2026-06-04T03:39:00Z</dcterms:created>
  <dc:creator>mengly6</dc:creator>
  <cp:lastModifiedBy>游尧</cp:lastModifiedBy>
  <cp:lastPrinted>2026-06-18T02:51:42Z</cp:lastPrinted>
  <dcterms:modified xsi:type="dcterms:W3CDTF">2026-06-18T07:19:29Z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3AF0F5269FE5452C9ED54116EBA86F05</vt:lpwstr>
  </property>
</Properties>
</file>