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7A5200">
      <w:pPr>
        <w:numPr>
          <w:ilvl w:val="0"/>
          <w:numId w:val="1"/>
        </w:numPr>
        <w:rPr>
          <w:rFonts w:hint="eastAsia"/>
          <w:b/>
          <w:bCs/>
          <w:lang w:val="en-US" w:eastAsia="zh-CN"/>
        </w:rPr>
      </w:pPr>
      <w:r>
        <w:rPr>
          <w:rFonts w:hint="eastAsia"/>
          <w:b/>
          <w:bCs/>
          <w:lang w:val="en-US" w:eastAsia="zh-CN"/>
        </w:rPr>
        <w:t>成果基本情况</w:t>
      </w:r>
    </w:p>
    <w:tbl>
      <w:tblPr>
        <w:tblStyle w:val="5"/>
        <w:tblW w:w="953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Layout w:type="autofit"/>
        <w:tblCellMar>
          <w:top w:w="0" w:type="dxa"/>
          <w:left w:w="28" w:type="dxa"/>
          <w:bottom w:w="0" w:type="dxa"/>
          <w:right w:w="28" w:type="dxa"/>
        </w:tblCellMar>
      </w:tblPr>
      <w:tblGrid>
        <w:gridCol w:w="1205"/>
        <w:gridCol w:w="787"/>
        <w:gridCol w:w="338"/>
        <w:gridCol w:w="2783"/>
        <w:gridCol w:w="1014"/>
        <w:gridCol w:w="1052"/>
        <w:gridCol w:w="643"/>
        <w:gridCol w:w="1710"/>
      </w:tblGrid>
      <w:tr w14:paraId="3A4DC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345" w:hRule="atLeast"/>
          <w:jc w:val="center"/>
        </w:trPr>
        <w:tc>
          <w:tcPr>
            <w:tcW w:w="1992" w:type="dxa"/>
            <w:gridSpan w:val="2"/>
            <w:tcBorders>
              <w:top w:val="nil"/>
              <w:left w:val="nil"/>
              <w:bottom w:val="nil"/>
              <w:right w:val="nil"/>
            </w:tcBorders>
            <w:shd w:val="clear" w:color="auto" w:fill="auto"/>
            <w:vAlign w:val="center"/>
          </w:tcPr>
          <w:p w14:paraId="771D65C8">
            <w:pPr>
              <w:snapToGrid w:val="0"/>
              <w:jc w:val="center"/>
              <w:rPr>
                <w:rFonts w:hint="eastAsia" w:ascii="黑体" w:hAnsi="宋体" w:eastAsia="黑体" w:cs="黑体"/>
                <w:szCs w:val="21"/>
                <w:lang w:val="en-US"/>
              </w:rPr>
            </w:pPr>
            <w:r>
              <w:rPr>
                <w:rFonts w:hint="eastAsia" w:ascii="黑体" w:hAnsi="宋体" w:eastAsia="黑体" w:cs="黑体"/>
                <w:szCs w:val="21"/>
              </w:rPr>
              <w:t>专业评审组</w:t>
            </w:r>
          </w:p>
        </w:tc>
        <w:tc>
          <w:tcPr>
            <w:tcW w:w="4135" w:type="dxa"/>
            <w:gridSpan w:val="3"/>
            <w:tcBorders>
              <w:top w:val="nil"/>
              <w:left w:val="nil"/>
              <w:bottom w:val="nil"/>
              <w:right w:val="nil"/>
            </w:tcBorders>
            <w:shd w:val="clear" w:color="auto" w:fill="auto"/>
            <w:vAlign w:val="center"/>
          </w:tcPr>
          <w:p w14:paraId="7AA1DDEE">
            <w:pPr>
              <w:snapToGrid w:val="0"/>
              <w:jc w:val="left"/>
              <w:rPr>
                <w:rFonts w:hint="eastAsia" w:ascii="宋体" w:hAnsi="宋体" w:eastAsia="宋体" w:cs="宋体"/>
                <w:szCs w:val="21"/>
                <w:lang w:val="en-US"/>
              </w:rPr>
            </w:pPr>
            <w:r>
              <w:rPr>
                <w:rFonts w:hint="eastAsia" w:ascii="宋体" w:hAnsi="宋体" w:eastAsia="宋体" w:cs="宋体"/>
                <w:szCs w:val="21"/>
                <w:lang w:val="en-US"/>
              </w:rPr>
              <w:t>中国地质学会</w:t>
            </w:r>
          </w:p>
        </w:tc>
        <w:tc>
          <w:tcPr>
            <w:tcW w:w="1052" w:type="dxa"/>
            <w:tcBorders>
              <w:top w:val="nil"/>
              <w:left w:val="nil"/>
              <w:bottom w:val="nil"/>
              <w:right w:val="nil"/>
            </w:tcBorders>
            <w:shd w:val="clear" w:color="auto" w:fill="auto"/>
            <w:vAlign w:val="center"/>
          </w:tcPr>
          <w:p w14:paraId="5E2166FE">
            <w:pPr>
              <w:snapToGrid w:val="0"/>
              <w:jc w:val="center"/>
              <w:rPr>
                <w:rFonts w:hint="eastAsia" w:ascii="黑体" w:hAnsi="宋体" w:eastAsia="黑体" w:cs="黑体"/>
                <w:szCs w:val="21"/>
                <w:lang w:val="en-US"/>
              </w:rPr>
            </w:pPr>
            <w:r>
              <w:rPr>
                <w:rFonts w:hint="eastAsia" w:ascii="黑体" w:hAnsi="宋体" w:eastAsia="黑体" w:cs="黑体"/>
                <w:szCs w:val="21"/>
              </w:rPr>
              <w:t>成果编号</w:t>
            </w:r>
          </w:p>
        </w:tc>
        <w:tc>
          <w:tcPr>
            <w:tcW w:w="2353" w:type="dxa"/>
            <w:gridSpan w:val="2"/>
            <w:tcBorders>
              <w:top w:val="nil"/>
              <w:left w:val="nil"/>
              <w:bottom w:val="nil"/>
              <w:right w:val="nil"/>
            </w:tcBorders>
            <w:shd w:val="clear" w:color="auto" w:fill="auto"/>
            <w:vAlign w:val="center"/>
          </w:tcPr>
          <w:p w14:paraId="735FBA07">
            <w:pPr>
              <w:ind w:left="34"/>
              <w:jc w:val="left"/>
              <w:rPr>
                <w:rFonts w:hint="eastAsia" w:ascii="宋体" w:hAnsi="宋体" w:eastAsia="宋体" w:cs="宋体"/>
                <w:szCs w:val="21"/>
                <w:lang w:val="en-US"/>
              </w:rPr>
            </w:pPr>
          </w:p>
        </w:tc>
      </w:tr>
      <w:tr w14:paraId="71D70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622" w:hRule="atLeast"/>
          <w:jc w:val="center"/>
        </w:trPr>
        <w:tc>
          <w:tcPr>
            <w:tcW w:w="1205" w:type="dxa"/>
            <w:vMerge w:val="restart"/>
            <w:tcBorders>
              <w:top w:val="single" w:color="auto" w:sz="12" w:space="0"/>
              <w:left w:val="single" w:color="auto" w:sz="12" w:space="0"/>
              <w:bottom w:val="single" w:color="auto" w:sz="6" w:space="0"/>
              <w:right w:val="single" w:color="auto" w:sz="6" w:space="0"/>
            </w:tcBorders>
            <w:shd w:val="clear" w:color="auto" w:fill="auto"/>
            <w:vAlign w:val="center"/>
          </w:tcPr>
          <w:p w14:paraId="1DE3A871">
            <w:pPr>
              <w:pStyle w:val="2"/>
              <w:spacing w:line="240" w:lineRule="auto"/>
              <w:ind w:left="0" w:firstLine="0" w:firstLineChars="0"/>
              <w:jc w:val="center"/>
              <w:rPr>
                <w:rFonts w:hint="default" w:ascii="Times New Roman" w:hAnsi="Calibri" w:cs="Times New Roman"/>
                <w:sz w:val="21"/>
                <w:szCs w:val="21"/>
                <w:lang w:val="en-US"/>
              </w:rPr>
            </w:pPr>
            <w:r>
              <w:rPr>
                <w:rFonts w:hint="eastAsia" w:ascii="Times New Roman" w:hAnsi="Calibri" w:eastAsia="宋体" w:cs="宋体"/>
                <w:sz w:val="21"/>
                <w:szCs w:val="21"/>
              </w:rPr>
              <w:t>成果</w:t>
            </w:r>
          </w:p>
          <w:p w14:paraId="5B3B4E24">
            <w:pPr>
              <w:pStyle w:val="2"/>
              <w:spacing w:line="240" w:lineRule="auto"/>
              <w:ind w:left="0" w:firstLine="0" w:firstLineChars="0"/>
              <w:jc w:val="center"/>
              <w:rPr>
                <w:rFonts w:hint="default" w:ascii="Times New Roman" w:hAnsi="Calibri" w:cs="Times New Roman"/>
                <w:sz w:val="21"/>
                <w:szCs w:val="21"/>
                <w:lang w:val="en-US"/>
              </w:rPr>
            </w:pPr>
            <w:r>
              <w:rPr>
                <w:rFonts w:hint="eastAsia" w:ascii="Times New Roman" w:hAnsi="Calibri" w:eastAsia="宋体" w:cs="宋体"/>
                <w:sz w:val="21"/>
                <w:szCs w:val="21"/>
              </w:rPr>
              <w:t>名称</w:t>
            </w:r>
          </w:p>
        </w:tc>
        <w:tc>
          <w:tcPr>
            <w:tcW w:w="787" w:type="dxa"/>
            <w:tcBorders>
              <w:top w:val="single" w:color="auto" w:sz="12" w:space="0"/>
              <w:left w:val="single" w:color="auto" w:sz="6" w:space="0"/>
              <w:bottom w:val="single" w:color="auto" w:sz="6" w:space="0"/>
              <w:right w:val="single" w:color="auto" w:sz="6" w:space="0"/>
            </w:tcBorders>
            <w:shd w:val="clear" w:color="auto" w:fill="auto"/>
            <w:vAlign w:val="center"/>
          </w:tcPr>
          <w:p w14:paraId="1518D0FC">
            <w:pPr>
              <w:pStyle w:val="2"/>
              <w:spacing w:line="240" w:lineRule="auto"/>
              <w:ind w:left="0" w:firstLine="0" w:firstLineChars="0"/>
              <w:jc w:val="center"/>
              <w:rPr>
                <w:rFonts w:hint="default" w:ascii="Times New Roman" w:hAnsi="Calibri" w:cs="Times New Roman"/>
                <w:sz w:val="21"/>
                <w:szCs w:val="21"/>
                <w:lang w:val="en-US"/>
              </w:rPr>
            </w:pPr>
            <w:r>
              <w:rPr>
                <w:rFonts w:hint="eastAsia" w:ascii="Times New Roman" w:hAnsi="Calibri" w:eastAsia="宋体" w:cs="宋体"/>
                <w:sz w:val="21"/>
                <w:szCs w:val="21"/>
              </w:rPr>
              <w:t>名称</w:t>
            </w:r>
          </w:p>
        </w:tc>
        <w:tc>
          <w:tcPr>
            <w:tcW w:w="7540" w:type="dxa"/>
            <w:gridSpan w:val="6"/>
            <w:tcBorders>
              <w:top w:val="single" w:color="auto" w:sz="12" w:space="0"/>
              <w:left w:val="single" w:color="auto" w:sz="6" w:space="0"/>
              <w:bottom w:val="single" w:color="auto" w:sz="6" w:space="0"/>
              <w:right w:val="single" w:color="auto" w:sz="12" w:space="0"/>
            </w:tcBorders>
            <w:shd w:val="clear" w:color="auto" w:fill="auto"/>
            <w:vAlign w:val="center"/>
          </w:tcPr>
          <w:p w14:paraId="518D34D0">
            <w:pPr>
              <w:snapToGrid w:val="0"/>
              <w:rPr>
                <w:rFonts w:hint="eastAsia" w:ascii="宋体" w:hAnsi="宋体" w:eastAsia="宋体" w:cs="宋体"/>
                <w:szCs w:val="21"/>
                <w:lang w:val="en-US"/>
              </w:rPr>
            </w:pPr>
            <w:r>
              <w:rPr>
                <w:rFonts w:hint="eastAsia" w:ascii="宋体" w:hAnsi="宋体" w:eastAsia="宋体" w:cs="宋体"/>
                <w:szCs w:val="21"/>
                <w:lang w:val="en-US"/>
              </w:rPr>
              <w:t>大型碱湖纹层型页岩</w:t>
            </w:r>
            <w:r>
              <w:rPr>
                <w:rFonts w:hint="eastAsia" w:ascii="宋体" w:hAnsi="宋体" w:cs="宋体"/>
                <w:szCs w:val="21"/>
                <w:lang w:val="en-US" w:eastAsia="zh-CN"/>
              </w:rPr>
              <w:t>油</w:t>
            </w:r>
            <w:bookmarkStart w:id="1" w:name="_GoBack"/>
            <w:bookmarkEnd w:id="1"/>
            <w:r>
              <w:rPr>
                <w:rFonts w:hint="eastAsia" w:ascii="宋体" w:hAnsi="宋体" w:eastAsia="宋体" w:cs="宋体"/>
                <w:szCs w:val="21"/>
                <w:lang w:val="en-US"/>
              </w:rPr>
              <w:t>成岩-成储-成藏机理及油气勘探实践</w:t>
            </w:r>
          </w:p>
        </w:tc>
      </w:tr>
      <w:tr w14:paraId="59ADD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585" w:hRule="atLeast"/>
          <w:jc w:val="center"/>
        </w:trPr>
        <w:tc>
          <w:tcPr>
            <w:tcW w:w="1205" w:type="dxa"/>
            <w:vMerge w:val="continue"/>
            <w:tcBorders>
              <w:top w:val="single" w:color="auto" w:sz="12" w:space="0"/>
              <w:left w:val="single" w:color="auto" w:sz="12" w:space="0"/>
              <w:bottom w:val="single" w:color="auto" w:sz="6" w:space="0"/>
              <w:right w:val="single" w:color="auto" w:sz="6" w:space="0"/>
            </w:tcBorders>
            <w:shd w:val="clear" w:color="auto" w:fill="auto"/>
            <w:vAlign w:val="center"/>
          </w:tcPr>
          <w:p w14:paraId="143F7861">
            <w:pPr>
              <w:rPr>
                <w:rFonts w:hint="default" w:ascii="Times New Roman" w:hAnsi="Times New Roman" w:cs="Times New Roman"/>
                <w:sz w:val="20"/>
                <w:szCs w:val="20"/>
              </w:rPr>
            </w:pPr>
          </w:p>
        </w:tc>
        <w:tc>
          <w:tcPr>
            <w:tcW w:w="787" w:type="dxa"/>
            <w:tcBorders>
              <w:top w:val="single" w:color="auto" w:sz="6" w:space="0"/>
              <w:left w:val="single" w:color="auto" w:sz="6" w:space="0"/>
              <w:bottom w:val="single" w:color="auto" w:sz="6" w:space="0"/>
              <w:right w:val="single" w:color="auto" w:sz="6" w:space="0"/>
            </w:tcBorders>
            <w:shd w:val="clear" w:color="auto" w:fill="auto"/>
            <w:vAlign w:val="center"/>
          </w:tcPr>
          <w:p w14:paraId="2774C16A">
            <w:pPr>
              <w:snapToGrid w:val="0"/>
              <w:jc w:val="center"/>
              <w:rPr>
                <w:rFonts w:hint="eastAsia" w:ascii="宋体" w:hAnsi="宋体" w:eastAsia="宋体" w:cs="宋体"/>
                <w:szCs w:val="21"/>
                <w:lang w:val="en-US"/>
              </w:rPr>
            </w:pPr>
            <w:r>
              <w:rPr>
                <w:rFonts w:hint="eastAsia" w:ascii="Calibri" w:hAnsi="Calibri" w:eastAsia="宋体" w:cs="宋体"/>
                <w:szCs w:val="21"/>
              </w:rPr>
              <w:t>公布名</w:t>
            </w:r>
          </w:p>
        </w:tc>
        <w:tc>
          <w:tcPr>
            <w:tcW w:w="7540" w:type="dxa"/>
            <w:gridSpan w:val="6"/>
            <w:tcBorders>
              <w:top w:val="single" w:color="auto" w:sz="6" w:space="0"/>
              <w:left w:val="single" w:color="auto" w:sz="6" w:space="0"/>
              <w:bottom w:val="single" w:color="auto" w:sz="6" w:space="0"/>
              <w:right w:val="single" w:color="auto" w:sz="12" w:space="0"/>
            </w:tcBorders>
            <w:shd w:val="clear" w:color="auto" w:fill="auto"/>
            <w:vAlign w:val="center"/>
          </w:tcPr>
          <w:p w14:paraId="39A2ED54">
            <w:pPr>
              <w:snapToGrid w:val="0"/>
              <w:rPr>
                <w:rFonts w:hint="eastAsia" w:ascii="宋体" w:hAnsi="宋体" w:eastAsia="宋体" w:cs="宋体"/>
                <w:szCs w:val="21"/>
                <w:lang w:val="en-US"/>
              </w:rPr>
            </w:pPr>
            <w:bookmarkStart w:id="0" w:name="xm_ename"/>
            <w:bookmarkEnd w:id="0"/>
            <w:r>
              <w:rPr>
                <w:rFonts w:hint="eastAsia" w:ascii="宋体" w:hAnsi="宋体" w:eastAsia="宋体" w:cs="宋体"/>
                <w:szCs w:val="21"/>
                <w:lang w:val="en-US"/>
              </w:rPr>
              <w:t>大型碱湖纹层型页岩</w:t>
            </w:r>
            <w:r>
              <w:rPr>
                <w:rFonts w:hint="eastAsia" w:ascii="宋体" w:hAnsi="宋体" w:cs="宋体"/>
                <w:szCs w:val="21"/>
                <w:lang w:val="en-US" w:eastAsia="zh-CN"/>
              </w:rPr>
              <w:t>油</w:t>
            </w:r>
            <w:r>
              <w:rPr>
                <w:rFonts w:hint="eastAsia" w:ascii="宋体" w:hAnsi="宋体" w:eastAsia="宋体" w:cs="宋体"/>
                <w:szCs w:val="21"/>
                <w:lang w:val="en-US"/>
              </w:rPr>
              <w:t>成岩-成储-成藏机理及油气勘探实践</w:t>
            </w:r>
          </w:p>
        </w:tc>
      </w:tr>
      <w:tr w14:paraId="73BC6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596" w:hRule="atLeast"/>
          <w:jc w:val="center"/>
        </w:trPr>
        <w:tc>
          <w:tcPr>
            <w:tcW w:w="1992" w:type="dxa"/>
            <w:gridSpan w:val="2"/>
            <w:tcBorders>
              <w:top w:val="single" w:color="auto" w:sz="6" w:space="0"/>
              <w:left w:val="single" w:color="auto" w:sz="12" w:space="0"/>
              <w:bottom w:val="single" w:color="auto" w:sz="6" w:space="0"/>
              <w:right w:val="single" w:color="auto" w:sz="6" w:space="0"/>
            </w:tcBorders>
            <w:shd w:val="clear" w:color="auto" w:fill="auto"/>
            <w:vAlign w:val="center"/>
          </w:tcPr>
          <w:p w14:paraId="7B87D386">
            <w:pPr>
              <w:snapToGrid w:val="0"/>
              <w:jc w:val="center"/>
              <w:rPr>
                <w:rFonts w:hint="eastAsia" w:ascii="宋体" w:hAnsi="宋体" w:eastAsia="宋体" w:cs="宋体"/>
                <w:szCs w:val="21"/>
                <w:lang w:val="en-US"/>
              </w:rPr>
            </w:pPr>
            <w:r>
              <w:rPr>
                <w:rFonts w:hint="eastAsia" w:ascii="宋体" w:hAnsi="宋体" w:eastAsia="宋体" w:cs="宋体"/>
                <w:szCs w:val="21"/>
              </w:rPr>
              <w:t>主要完成人</w:t>
            </w:r>
          </w:p>
        </w:tc>
        <w:tc>
          <w:tcPr>
            <w:tcW w:w="7540" w:type="dxa"/>
            <w:gridSpan w:val="6"/>
            <w:tcBorders>
              <w:top w:val="single" w:color="auto" w:sz="6" w:space="0"/>
              <w:left w:val="single" w:color="auto" w:sz="6" w:space="0"/>
              <w:bottom w:val="single" w:color="auto" w:sz="6" w:space="0"/>
              <w:right w:val="single" w:color="auto" w:sz="12" w:space="0"/>
            </w:tcBorders>
            <w:shd w:val="clear" w:color="auto" w:fill="auto"/>
            <w:vAlign w:val="center"/>
          </w:tcPr>
          <w:p w14:paraId="74272784">
            <w:pPr>
              <w:snapToGrid w:val="0"/>
              <w:rPr>
                <w:rFonts w:hint="eastAsia" w:ascii="宋体" w:hAnsi="宋体" w:eastAsia="宋体" w:cs="宋体"/>
                <w:szCs w:val="21"/>
                <w:lang w:val="en-US"/>
              </w:rPr>
            </w:pPr>
            <w:r>
              <w:rPr>
                <w:rFonts w:hint="eastAsia" w:ascii="宋体" w:hAnsi="宋体" w:eastAsia="宋体" w:cs="宋体"/>
                <w:szCs w:val="21"/>
                <w:lang w:val="en-US"/>
              </w:rPr>
              <w:t>靳军、王剑、李治平、陈俊</w:t>
            </w:r>
            <w:r>
              <w:rPr>
                <w:rFonts w:hint="eastAsia" w:ascii="宋体" w:hAnsi="宋体" w:cs="宋体"/>
                <w:szCs w:val="21"/>
                <w:lang w:val="en-US" w:eastAsia="zh-CN"/>
              </w:rPr>
              <w:t>、</w:t>
            </w:r>
            <w:r>
              <w:rPr>
                <w:rFonts w:hint="eastAsia" w:ascii="宋体" w:hAnsi="宋体" w:eastAsia="宋体" w:cs="宋体"/>
                <w:kern w:val="2"/>
                <w:sz w:val="21"/>
                <w:szCs w:val="21"/>
              </w:rPr>
              <w:t>张冀、高崇龙、徐后伟、米巨磊、郭佩、寇家宾、方石、雷海艳、孟颖、齐婧、曹旭阳</w:t>
            </w:r>
          </w:p>
        </w:tc>
      </w:tr>
      <w:tr w14:paraId="13AB6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1085" w:hRule="atLeast"/>
          <w:jc w:val="center"/>
        </w:trPr>
        <w:tc>
          <w:tcPr>
            <w:tcW w:w="1992" w:type="dxa"/>
            <w:gridSpan w:val="2"/>
            <w:tcBorders>
              <w:top w:val="single" w:color="auto" w:sz="6" w:space="0"/>
              <w:left w:val="single" w:color="auto" w:sz="12" w:space="0"/>
              <w:bottom w:val="single" w:color="auto" w:sz="6" w:space="0"/>
              <w:right w:val="single" w:color="auto" w:sz="6" w:space="0"/>
            </w:tcBorders>
            <w:shd w:val="clear" w:color="auto" w:fill="auto"/>
            <w:vAlign w:val="center"/>
          </w:tcPr>
          <w:p w14:paraId="0316ABA3">
            <w:pPr>
              <w:snapToGrid w:val="0"/>
              <w:jc w:val="center"/>
              <w:rPr>
                <w:rFonts w:hint="eastAsia" w:ascii="宋体" w:hAnsi="宋体" w:eastAsia="宋体" w:cs="宋体"/>
                <w:szCs w:val="21"/>
                <w:lang w:val="en-US"/>
              </w:rPr>
            </w:pPr>
            <w:r>
              <w:rPr>
                <w:rFonts w:hint="eastAsia" w:ascii="宋体" w:hAnsi="宋体" w:eastAsia="宋体" w:cs="宋体"/>
                <w:szCs w:val="21"/>
              </w:rPr>
              <w:t>主要完成单位</w:t>
            </w:r>
          </w:p>
        </w:tc>
        <w:tc>
          <w:tcPr>
            <w:tcW w:w="7540" w:type="dxa"/>
            <w:gridSpan w:val="6"/>
            <w:tcBorders>
              <w:top w:val="single" w:color="auto" w:sz="6" w:space="0"/>
              <w:left w:val="single" w:color="auto" w:sz="6" w:space="0"/>
              <w:bottom w:val="single" w:color="auto" w:sz="6" w:space="0"/>
              <w:right w:val="single" w:color="auto" w:sz="12" w:space="0"/>
            </w:tcBorders>
            <w:shd w:val="clear" w:color="auto" w:fill="auto"/>
            <w:vAlign w:val="center"/>
          </w:tcPr>
          <w:p w14:paraId="3F83D901">
            <w:pPr>
              <w:snapToGrid w:val="0"/>
              <w:rPr>
                <w:rFonts w:hint="eastAsia" w:ascii="宋体" w:hAnsi="宋体" w:eastAsia="宋体" w:cs="宋体"/>
                <w:szCs w:val="21"/>
                <w:lang w:val="en-US"/>
              </w:rPr>
            </w:pPr>
            <w:r>
              <w:rPr>
                <w:rFonts w:hint="eastAsia" w:ascii="宋体" w:hAnsi="宋体" w:eastAsia="宋体" w:cs="宋体"/>
                <w:szCs w:val="21"/>
                <w:lang w:val="en-US"/>
              </w:rPr>
              <w:t>中国石油天然气股份有限公司新疆油田分公司、中国地质大学（北京）、新疆维吾尔自治区地质学会、中国石油大学（北京）、成都理工大学、吉林大学</w:t>
            </w:r>
          </w:p>
        </w:tc>
      </w:tr>
      <w:tr w14:paraId="2791B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52" w:hRule="atLeast"/>
          <w:jc w:val="center"/>
        </w:trPr>
        <w:tc>
          <w:tcPr>
            <w:tcW w:w="1992" w:type="dxa"/>
            <w:gridSpan w:val="2"/>
            <w:tcBorders>
              <w:top w:val="single" w:color="auto" w:sz="6" w:space="0"/>
              <w:left w:val="single" w:color="auto" w:sz="12" w:space="0"/>
              <w:bottom w:val="single" w:color="auto" w:sz="6" w:space="0"/>
              <w:right w:val="single" w:color="auto" w:sz="6" w:space="0"/>
            </w:tcBorders>
            <w:shd w:val="clear" w:color="auto" w:fill="auto"/>
            <w:vAlign w:val="center"/>
          </w:tcPr>
          <w:p w14:paraId="64C91B6F">
            <w:pPr>
              <w:snapToGrid w:val="0"/>
              <w:jc w:val="center"/>
              <w:rPr>
                <w:rFonts w:hint="eastAsia" w:ascii="宋体" w:hAnsi="宋体" w:eastAsia="宋体" w:cs="宋体"/>
                <w:szCs w:val="21"/>
                <w:lang w:val="en-US"/>
              </w:rPr>
            </w:pPr>
            <w:r>
              <w:rPr>
                <w:rFonts w:hint="eastAsia" w:ascii="宋体" w:hAnsi="宋体" w:eastAsia="宋体" w:cs="宋体"/>
                <w:szCs w:val="21"/>
              </w:rPr>
              <w:t>推荐单位</w:t>
            </w:r>
          </w:p>
          <w:p w14:paraId="2265F1D8">
            <w:pPr>
              <w:snapToGrid w:val="0"/>
              <w:jc w:val="center"/>
              <w:rPr>
                <w:rFonts w:hint="eastAsia" w:ascii="宋体" w:hAnsi="宋体" w:eastAsia="宋体" w:cs="宋体"/>
                <w:szCs w:val="21"/>
                <w:lang w:val="en-US"/>
              </w:rPr>
            </w:pPr>
            <w:r>
              <w:rPr>
                <w:rFonts w:hint="eastAsia" w:ascii="宋体" w:hAnsi="宋体" w:eastAsia="宋体" w:cs="宋体"/>
                <w:szCs w:val="21"/>
              </w:rPr>
              <w:t>（盖章）</w:t>
            </w:r>
          </w:p>
        </w:tc>
        <w:tc>
          <w:tcPr>
            <w:tcW w:w="7540" w:type="dxa"/>
            <w:gridSpan w:val="6"/>
            <w:tcBorders>
              <w:top w:val="single" w:color="auto" w:sz="6" w:space="0"/>
              <w:left w:val="single" w:color="auto" w:sz="6" w:space="0"/>
              <w:bottom w:val="single" w:color="auto" w:sz="6" w:space="0"/>
              <w:right w:val="single" w:color="auto" w:sz="12" w:space="0"/>
            </w:tcBorders>
            <w:shd w:val="clear" w:color="auto" w:fill="auto"/>
            <w:vAlign w:val="center"/>
          </w:tcPr>
          <w:p w14:paraId="6FF0C361">
            <w:pPr>
              <w:snapToGrid w:val="0"/>
              <w:rPr>
                <w:rFonts w:hint="eastAsia" w:ascii="宋体" w:hAnsi="宋体" w:eastAsia="宋体" w:cs="宋体"/>
                <w:szCs w:val="21"/>
                <w:lang w:val="en-US"/>
              </w:rPr>
            </w:pPr>
            <w:r>
              <w:rPr>
                <w:rFonts w:hint="eastAsia" w:ascii="宋体" w:hAnsi="宋体" w:eastAsia="宋体" w:cs="宋体"/>
                <w:szCs w:val="21"/>
                <w:lang w:val="en-US"/>
              </w:rPr>
              <w:t>新疆维吾尔自治区地质学会</w:t>
            </w:r>
          </w:p>
        </w:tc>
      </w:tr>
      <w:tr w14:paraId="634C25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450" w:hRule="atLeast"/>
          <w:jc w:val="center"/>
        </w:trPr>
        <w:tc>
          <w:tcPr>
            <w:tcW w:w="2330" w:type="dxa"/>
            <w:gridSpan w:val="3"/>
            <w:tcBorders>
              <w:top w:val="single" w:color="auto" w:sz="4" w:space="0"/>
              <w:left w:val="single" w:color="auto" w:sz="12" w:space="0"/>
              <w:bottom w:val="single" w:color="auto" w:sz="6" w:space="0"/>
              <w:right w:val="single" w:color="auto" w:sz="4" w:space="0"/>
            </w:tcBorders>
            <w:shd w:val="clear" w:color="auto" w:fill="auto"/>
            <w:vAlign w:val="center"/>
          </w:tcPr>
          <w:p w14:paraId="259B977C">
            <w:pPr>
              <w:snapToGrid w:val="0"/>
              <w:jc w:val="center"/>
              <w:rPr>
                <w:rFonts w:hint="eastAsia" w:ascii="楷体_GB2312" w:hAnsi="宋体" w:eastAsia="楷体_GB2312" w:cs="楷体_GB2312"/>
                <w:szCs w:val="21"/>
                <w:lang w:val="en-US"/>
              </w:rPr>
            </w:pPr>
            <w:r>
              <w:rPr>
                <w:rFonts w:hint="eastAsia" w:ascii="Calibri" w:hAnsi="Calibri" w:eastAsia="宋体" w:cs="宋体"/>
                <w:szCs w:val="21"/>
              </w:rPr>
              <w:t>授权发明专利（项）</w:t>
            </w:r>
          </w:p>
        </w:tc>
        <w:tc>
          <w:tcPr>
            <w:tcW w:w="2783" w:type="dxa"/>
            <w:tcBorders>
              <w:top w:val="single" w:color="auto" w:sz="4" w:space="0"/>
              <w:left w:val="single" w:color="auto" w:sz="4" w:space="0"/>
              <w:bottom w:val="single" w:color="auto" w:sz="6" w:space="0"/>
              <w:right w:val="single" w:color="auto" w:sz="4" w:space="0"/>
            </w:tcBorders>
            <w:shd w:val="clear" w:color="auto" w:fill="auto"/>
            <w:vAlign w:val="center"/>
          </w:tcPr>
          <w:p w14:paraId="1C007369">
            <w:pPr>
              <w:snapToGrid w:val="0"/>
              <w:rPr>
                <w:rFonts w:hint="eastAsia" w:ascii="宋体" w:hAnsi="宋体" w:eastAsia="宋体" w:cs="宋体"/>
                <w:szCs w:val="21"/>
                <w:lang w:val="en-US"/>
              </w:rPr>
            </w:pPr>
            <w:r>
              <w:rPr>
                <w:rFonts w:hint="eastAsia" w:ascii="宋体" w:hAnsi="宋体" w:eastAsia="宋体" w:cs="宋体"/>
                <w:szCs w:val="21"/>
                <w:lang w:val="en-US"/>
              </w:rPr>
              <w:t>10</w:t>
            </w:r>
          </w:p>
        </w:tc>
        <w:tc>
          <w:tcPr>
            <w:tcW w:w="2709" w:type="dxa"/>
            <w:gridSpan w:val="3"/>
            <w:tcBorders>
              <w:top w:val="single" w:color="auto" w:sz="4" w:space="0"/>
              <w:left w:val="single" w:color="auto" w:sz="4" w:space="0"/>
              <w:bottom w:val="single" w:color="auto" w:sz="6" w:space="0"/>
              <w:right w:val="single" w:color="auto" w:sz="4" w:space="0"/>
            </w:tcBorders>
            <w:shd w:val="clear" w:color="auto" w:fill="auto"/>
            <w:vAlign w:val="center"/>
          </w:tcPr>
          <w:p w14:paraId="1B5C2312">
            <w:pPr>
              <w:snapToGrid w:val="0"/>
              <w:jc w:val="center"/>
              <w:rPr>
                <w:rFonts w:hint="eastAsia" w:ascii="楷体_GB2312" w:hAnsi="宋体" w:eastAsia="楷体_GB2312" w:cs="楷体_GB2312"/>
                <w:szCs w:val="21"/>
                <w:lang w:val="en-US"/>
              </w:rPr>
            </w:pPr>
            <w:r>
              <w:rPr>
                <w:rFonts w:hint="eastAsia" w:ascii="Calibri" w:hAnsi="Calibri" w:eastAsia="宋体" w:cs="宋体"/>
                <w:szCs w:val="21"/>
              </w:rPr>
              <w:t>授权的其他知识产权（项）</w:t>
            </w:r>
          </w:p>
        </w:tc>
        <w:tc>
          <w:tcPr>
            <w:tcW w:w="1710" w:type="dxa"/>
            <w:tcBorders>
              <w:top w:val="single" w:color="auto" w:sz="4" w:space="0"/>
              <w:left w:val="single" w:color="auto" w:sz="4" w:space="0"/>
              <w:bottom w:val="single" w:color="auto" w:sz="6" w:space="0"/>
              <w:right w:val="single" w:color="auto" w:sz="12" w:space="0"/>
            </w:tcBorders>
            <w:shd w:val="clear" w:color="auto" w:fill="auto"/>
            <w:vAlign w:val="center"/>
          </w:tcPr>
          <w:p w14:paraId="6866B9AB">
            <w:pPr>
              <w:snapToGrid w:val="0"/>
              <w:rPr>
                <w:rFonts w:hint="eastAsia" w:ascii="宋体" w:hAnsi="宋体" w:eastAsia="宋体" w:cs="宋体"/>
                <w:szCs w:val="21"/>
                <w:lang w:val="en-US"/>
              </w:rPr>
            </w:pPr>
          </w:p>
        </w:tc>
      </w:tr>
      <w:tr w14:paraId="427BD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454" w:hRule="atLeast"/>
          <w:jc w:val="center"/>
        </w:trPr>
        <w:tc>
          <w:tcPr>
            <w:tcW w:w="2330" w:type="dxa"/>
            <w:gridSpan w:val="3"/>
            <w:tcBorders>
              <w:top w:val="single" w:color="auto" w:sz="6" w:space="0"/>
              <w:left w:val="single" w:color="auto" w:sz="12" w:space="0"/>
              <w:bottom w:val="single" w:color="auto" w:sz="6" w:space="0"/>
              <w:right w:val="single" w:color="auto" w:sz="6" w:space="0"/>
            </w:tcBorders>
            <w:shd w:val="clear" w:color="auto" w:fill="auto"/>
            <w:vAlign w:val="center"/>
          </w:tcPr>
          <w:p w14:paraId="375CA70C">
            <w:pPr>
              <w:snapToGrid w:val="0"/>
              <w:jc w:val="center"/>
              <w:rPr>
                <w:rFonts w:hint="eastAsia" w:ascii="宋体" w:hAnsi="宋体" w:eastAsia="宋体" w:cs="宋体"/>
                <w:szCs w:val="21"/>
                <w:lang w:val="en-US"/>
              </w:rPr>
            </w:pPr>
            <w:r>
              <w:rPr>
                <w:rFonts w:hint="eastAsia" w:ascii="宋体" w:hAnsi="宋体" w:eastAsia="宋体" w:cs="宋体"/>
                <w:szCs w:val="21"/>
              </w:rPr>
              <w:t>项目起止时间</w:t>
            </w:r>
          </w:p>
        </w:tc>
        <w:tc>
          <w:tcPr>
            <w:tcW w:w="2783" w:type="dxa"/>
            <w:tcBorders>
              <w:top w:val="single" w:color="auto" w:sz="6" w:space="0"/>
              <w:left w:val="single" w:color="auto" w:sz="6" w:space="0"/>
              <w:bottom w:val="single" w:color="auto" w:sz="6" w:space="0"/>
              <w:right w:val="single" w:color="auto" w:sz="4" w:space="0"/>
            </w:tcBorders>
            <w:shd w:val="clear" w:color="auto" w:fill="auto"/>
            <w:vAlign w:val="center"/>
          </w:tcPr>
          <w:p w14:paraId="2F2A2598">
            <w:pPr>
              <w:snapToGrid w:val="0"/>
              <w:rPr>
                <w:rFonts w:hint="eastAsia" w:ascii="宋体" w:hAnsi="宋体" w:eastAsia="宋体" w:cs="宋体"/>
                <w:szCs w:val="21"/>
                <w:lang w:val="en-US"/>
              </w:rPr>
            </w:pPr>
            <w:r>
              <w:rPr>
                <w:rFonts w:hint="eastAsia" w:ascii="宋体" w:hAnsi="宋体" w:eastAsia="宋体" w:cs="宋体"/>
                <w:szCs w:val="21"/>
              </w:rPr>
              <w:t>起始：</w:t>
            </w:r>
            <w:r>
              <w:rPr>
                <w:rFonts w:hint="eastAsia" w:ascii="宋体" w:hAnsi="宋体" w:eastAsia="宋体" w:cs="宋体"/>
                <w:szCs w:val="21"/>
                <w:lang w:val="en-US"/>
              </w:rPr>
              <w:t>2011年01月01日</w:t>
            </w:r>
          </w:p>
        </w:tc>
        <w:tc>
          <w:tcPr>
            <w:tcW w:w="4419" w:type="dxa"/>
            <w:gridSpan w:val="4"/>
            <w:tcBorders>
              <w:top w:val="single" w:color="auto" w:sz="6" w:space="0"/>
              <w:left w:val="single" w:color="auto" w:sz="4" w:space="0"/>
              <w:bottom w:val="single" w:color="auto" w:sz="6" w:space="0"/>
              <w:right w:val="single" w:color="auto" w:sz="12" w:space="0"/>
            </w:tcBorders>
            <w:shd w:val="clear" w:color="auto" w:fill="auto"/>
            <w:vAlign w:val="center"/>
          </w:tcPr>
          <w:p w14:paraId="404F621F">
            <w:pPr>
              <w:snapToGrid w:val="0"/>
              <w:rPr>
                <w:rFonts w:hint="eastAsia" w:ascii="宋体" w:hAnsi="宋体" w:eastAsia="宋体" w:cs="宋体"/>
                <w:szCs w:val="21"/>
                <w:lang w:val="en-US"/>
              </w:rPr>
            </w:pPr>
            <w:r>
              <w:rPr>
                <w:rFonts w:hint="eastAsia" w:ascii="宋体" w:hAnsi="宋体" w:eastAsia="宋体" w:cs="宋体"/>
                <w:szCs w:val="21"/>
              </w:rPr>
              <w:t>完成：</w:t>
            </w:r>
            <w:r>
              <w:rPr>
                <w:rFonts w:hint="eastAsia" w:ascii="宋体" w:hAnsi="宋体" w:eastAsia="宋体" w:cs="宋体"/>
                <w:szCs w:val="21"/>
                <w:lang w:val="en-US"/>
              </w:rPr>
              <w:t>2021年12月31日</w:t>
            </w:r>
          </w:p>
        </w:tc>
      </w:tr>
      <w:tr w14:paraId="7168E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cantSplit/>
          <w:trHeight w:val="454" w:hRule="atLeast"/>
          <w:jc w:val="center"/>
        </w:trPr>
        <w:tc>
          <w:tcPr>
            <w:tcW w:w="2330" w:type="dxa"/>
            <w:gridSpan w:val="3"/>
            <w:tcBorders>
              <w:top w:val="single" w:color="auto" w:sz="6" w:space="0"/>
              <w:left w:val="single" w:color="auto" w:sz="12" w:space="0"/>
              <w:bottom w:val="single" w:color="auto" w:sz="12" w:space="0"/>
              <w:right w:val="single" w:color="auto" w:sz="6" w:space="0"/>
            </w:tcBorders>
            <w:shd w:val="clear" w:color="auto" w:fill="auto"/>
            <w:vAlign w:val="center"/>
          </w:tcPr>
          <w:p w14:paraId="387E42D9">
            <w:pPr>
              <w:snapToGrid w:val="0"/>
              <w:jc w:val="center"/>
              <w:rPr>
                <w:rFonts w:hint="eastAsia" w:ascii="宋体" w:hAnsi="宋体" w:eastAsia="宋体" w:cs="宋体"/>
                <w:szCs w:val="21"/>
                <w:lang w:val="en-US"/>
              </w:rPr>
            </w:pPr>
            <w:r>
              <w:rPr>
                <w:rFonts w:hint="eastAsia" w:ascii="Calibri" w:hAnsi="Calibri" w:eastAsia="宋体" w:cs="宋体"/>
                <w:szCs w:val="21"/>
              </w:rPr>
              <w:t>推荐等级</w:t>
            </w:r>
          </w:p>
        </w:tc>
        <w:tc>
          <w:tcPr>
            <w:tcW w:w="7202" w:type="dxa"/>
            <w:gridSpan w:val="5"/>
            <w:tcBorders>
              <w:top w:val="single" w:color="auto" w:sz="6" w:space="0"/>
              <w:left w:val="single" w:color="auto" w:sz="6" w:space="0"/>
              <w:bottom w:val="single" w:color="auto" w:sz="12" w:space="0"/>
              <w:right w:val="single" w:color="auto" w:sz="12" w:space="0"/>
            </w:tcBorders>
            <w:shd w:val="clear" w:color="auto" w:fill="auto"/>
            <w:vAlign w:val="center"/>
          </w:tcPr>
          <w:p w14:paraId="79C4E2AF">
            <w:pPr>
              <w:snapToGrid w:val="0"/>
              <w:rPr>
                <w:rFonts w:hint="eastAsia" w:ascii="宋体" w:hAnsi="宋体" w:eastAsia="宋体" w:cs="宋体"/>
                <w:szCs w:val="21"/>
                <w:lang w:val="en-US"/>
              </w:rPr>
            </w:pPr>
            <w:r>
              <w:rPr>
                <w:rFonts w:hint="eastAsia" w:ascii="宋体" w:hAnsi="宋体" w:eastAsia="宋体" w:cs="宋体"/>
                <w:szCs w:val="21"/>
                <w:lang w:val="en-US"/>
              </w:rPr>
              <w:t>一等奖或二等奖</w:t>
            </w:r>
          </w:p>
        </w:tc>
      </w:tr>
    </w:tbl>
    <w:p w14:paraId="59A2A31C">
      <w:pPr>
        <w:numPr>
          <w:ilvl w:val="0"/>
          <w:numId w:val="0"/>
        </w:numPr>
        <w:rPr>
          <w:rFonts w:hint="eastAsia"/>
          <w:lang w:val="en-US" w:eastAsia="zh-CN"/>
        </w:rPr>
      </w:pPr>
    </w:p>
    <w:p w14:paraId="0C4164BE">
      <w:pPr>
        <w:numPr>
          <w:ilvl w:val="0"/>
          <w:numId w:val="1"/>
        </w:numPr>
        <w:rPr>
          <w:rFonts w:hint="default"/>
          <w:b/>
          <w:bCs/>
          <w:lang w:val="en-US" w:eastAsia="zh-CN"/>
        </w:rPr>
      </w:pPr>
      <w:r>
        <w:rPr>
          <w:rFonts w:hint="eastAsia"/>
          <w:b/>
          <w:bCs/>
          <w:lang w:val="en-US" w:eastAsia="zh-CN"/>
        </w:rPr>
        <w:t>推荐意见</w:t>
      </w:r>
    </w:p>
    <w:p w14:paraId="32B408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ascii="宋体" w:hAnsi="宋体"/>
          <w:kern w:val="0"/>
          <w:szCs w:val="21"/>
          <w:highlight w:val="none"/>
          <w:lang w:eastAsia="zh-CN"/>
        </w:rPr>
        <w:t>玛湖风城组是全球迄今最古老的碱湖页岩油层系，也是目前国际上已发现并开发的最深页岩油藏，目前已有10余口井实现单井日产油超百吨突破，潜力巨大。</w:t>
      </w:r>
      <w:r>
        <w:rPr>
          <w:rFonts w:hint="default"/>
          <w:lang w:val="en-US" w:eastAsia="zh-CN"/>
        </w:rPr>
        <w:t>但成储机制及其控制下的页岩油高产机理、不同成储条件下烃类差异赋存机理及原位表征等方面存在诸多难题，极大制约了勘探生产步伐。</w:t>
      </w:r>
      <w:r>
        <w:rPr>
          <w:rFonts w:hint="eastAsia"/>
          <w:lang w:val="en-US" w:eastAsia="zh-CN"/>
        </w:rPr>
        <w:t>该成果</w:t>
      </w:r>
      <w:r>
        <w:rPr>
          <w:rFonts w:hint="default"/>
          <w:lang w:val="en-US" w:eastAsia="zh-CN"/>
        </w:rPr>
        <w:t>针对</w:t>
      </w:r>
      <w:r>
        <w:rPr>
          <w:rFonts w:hint="eastAsia"/>
          <w:lang w:val="en-US" w:eastAsia="zh-CN"/>
        </w:rPr>
        <w:t>上述难题</w:t>
      </w:r>
      <w:r>
        <w:rPr>
          <w:rFonts w:hint="default"/>
          <w:lang w:val="en-US" w:eastAsia="zh-CN"/>
        </w:rPr>
        <w:t>，历经10余年持续攻关，开展了针对超深层碱湖</w:t>
      </w:r>
      <w:r>
        <w:rPr>
          <w:rFonts w:hint="eastAsia"/>
          <w:lang w:val="en-US" w:eastAsia="zh-CN"/>
        </w:rPr>
        <w:t>纹层</w:t>
      </w:r>
      <w:r>
        <w:rPr>
          <w:rFonts w:hint="default"/>
          <w:lang w:val="en-US" w:eastAsia="zh-CN"/>
        </w:rPr>
        <w:t>型页岩沉积</w:t>
      </w:r>
      <w:r>
        <w:rPr>
          <w:rFonts w:hint="eastAsia"/>
          <w:lang w:val="en-US" w:eastAsia="zh-CN"/>
        </w:rPr>
        <w:t>成岩</w:t>
      </w:r>
      <w:r>
        <w:rPr>
          <w:rFonts w:hint="default"/>
          <w:lang w:val="en-US" w:eastAsia="zh-CN"/>
        </w:rPr>
        <w:t>环境、</w:t>
      </w:r>
      <w:r>
        <w:rPr>
          <w:rFonts w:hint="eastAsia"/>
          <w:lang w:val="en-US" w:eastAsia="zh-CN"/>
        </w:rPr>
        <w:t>成储机制</w:t>
      </w:r>
      <w:r>
        <w:rPr>
          <w:rFonts w:hint="default"/>
          <w:lang w:val="en-US" w:eastAsia="zh-CN"/>
        </w:rPr>
        <w:t>、</w:t>
      </w:r>
      <w:r>
        <w:rPr>
          <w:rFonts w:hint="eastAsia"/>
          <w:lang w:val="en-US" w:eastAsia="zh-CN"/>
        </w:rPr>
        <w:t>成藏要素</w:t>
      </w:r>
      <w:r>
        <w:rPr>
          <w:rFonts w:hint="default"/>
          <w:lang w:val="en-US" w:eastAsia="zh-CN"/>
        </w:rPr>
        <w:t>等方面的深入研究，创新研发新实验技术方法，明确大型碱湖纹层型页岩成岩-成储-成藏机理，并实现其内部页岩油原位赋存全尺度综合表征，有效推动了玛湖风城组页岩油藏高效勘探和效益开发。</w:t>
      </w:r>
      <w:r>
        <w:rPr>
          <w:rFonts w:hint="eastAsia"/>
          <w:lang w:val="en-US" w:eastAsia="zh-CN"/>
        </w:rPr>
        <w:t>研究成果为丰探1、玛页104等重点井主力甜点体确立和快速试油选层提供关键参数，指导了高产井井段优选，有效推动玛湖亿吨级碱湖页岩油的勘探突破。应用区块累计新增油量275.88万吨，新增销售额20.21亿元，新增利润2.38亿元，经济效益显著。成果深化了碱湖页岩储层实验技术与地质理论，有效推动超深层碱湖页岩油全面突破。</w:t>
      </w:r>
    </w:p>
    <w:p w14:paraId="0A5242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该成果</w:t>
      </w:r>
      <w:r>
        <w:rPr>
          <w:rFonts w:hint="default"/>
          <w:lang w:val="en-US" w:eastAsia="zh-CN"/>
        </w:rPr>
        <w:t>获授权发明专利10件，发表论文</w:t>
      </w:r>
      <w:r>
        <w:rPr>
          <w:rFonts w:hint="eastAsia"/>
          <w:lang w:val="en-US" w:eastAsia="zh-CN"/>
        </w:rPr>
        <w:t>7</w:t>
      </w:r>
      <w:r>
        <w:rPr>
          <w:rFonts w:hint="default"/>
          <w:lang w:val="en-US" w:eastAsia="zh-CN"/>
        </w:rPr>
        <w:t>篇</w:t>
      </w:r>
      <w:r>
        <w:rPr>
          <w:rFonts w:hint="eastAsia"/>
          <w:lang w:val="en-US" w:eastAsia="zh-CN"/>
        </w:rPr>
        <w:t>、专著1部</w:t>
      </w:r>
      <w:r>
        <w:rPr>
          <w:rFonts w:hint="default"/>
          <w:lang w:val="en-US" w:eastAsia="zh-CN"/>
        </w:rPr>
        <w:t>，其中SCI检索</w:t>
      </w:r>
      <w:r>
        <w:rPr>
          <w:rFonts w:hint="eastAsia"/>
          <w:lang w:val="en-US" w:eastAsia="zh-CN"/>
        </w:rPr>
        <w:t>3</w:t>
      </w:r>
      <w:r>
        <w:rPr>
          <w:rFonts w:hint="default"/>
          <w:lang w:val="en-US" w:eastAsia="zh-CN"/>
        </w:rPr>
        <w:t>篇、EI检索3篇</w:t>
      </w:r>
      <w:r>
        <w:rPr>
          <w:rFonts w:hint="eastAsia"/>
          <w:lang w:val="en-US" w:eastAsia="zh-CN"/>
        </w:rPr>
        <w:t>，</w:t>
      </w:r>
      <w:r>
        <w:rPr>
          <w:rFonts w:hint="default"/>
          <w:lang w:val="en-US" w:eastAsia="zh-CN"/>
        </w:rPr>
        <w:t>获新疆油田公司基础研究一等奖</w:t>
      </w:r>
      <w:r>
        <w:rPr>
          <w:rFonts w:hint="eastAsia"/>
          <w:lang w:val="en-US" w:eastAsia="zh-CN"/>
        </w:rPr>
        <w:t>。</w:t>
      </w:r>
      <w:r>
        <w:rPr>
          <w:rFonts w:hint="default"/>
          <w:lang w:val="en-US" w:eastAsia="zh-CN"/>
        </w:rPr>
        <w:t>研究成果支撑了新疆页岩油勘探开发重点实验室建设，培养了克拉玛依市领军人才、自治区天山雪松等多名优秀人才</w:t>
      </w:r>
      <w:r>
        <w:rPr>
          <w:rFonts w:hint="eastAsia"/>
          <w:lang w:val="en-US" w:eastAsia="zh-CN"/>
        </w:rPr>
        <w:t>。经李阳院士、赵文智院士等7位院士及教授组成的鉴定委员会鉴定认为，该成果整体达到国际先进水平，其中部分技术达到国际领先水平。</w:t>
      </w:r>
    </w:p>
    <w:p w14:paraId="666D53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该成果技术创新性突出，推动行业科技进步作用特别明显，已在我国多个油田推广应用。</w:t>
      </w:r>
    </w:p>
    <w:p w14:paraId="58E298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成果内容和完成人已在本单位公示、无异议。</w:t>
      </w:r>
    </w:p>
    <w:p w14:paraId="66F904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鉴于以上原因，推荐该成果申报2026年度自然资源科技进步一等奖或二等奖。</w:t>
      </w:r>
    </w:p>
    <w:p w14:paraId="4F121E2D">
      <w:pPr>
        <w:numPr>
          <w:ilvl w:val="0"/>
          <w:numId w:val="0"/>
        </w:numPr>
        <w:rPr>
          <w:rFonts w:hint="default"/>
          <w:lang w:val="en-US" w:eastAsia="zh-CN"/>
        </w:rPr>
      </w:pPr>
    </w:p>
    <w:p w14:paraId="5B571BCD">
      <w:pPr>
        <w:numPr>
          <w:ilvl w:val="0"/>
          <w:numId w:val="1"/>
        </w:numPr>
        <w:rPr>
          <w:rFonts w:hint="default"/>
          <w:b/>
          <w:bCs/>
          <w:lang w:val="en-US" w:eastAsia="zh-CN"/>
        </w:rPr>
      </w:pPr>
      <w:r>
        <w:rPr>
          <w:rFonts w:hint="eastAsia"/>
          <w:b/>
          <w:bCs/>
          <w:lang w:val="en-US" w:eastAsia="zh-CN"/>
        </w:rPr>
        <w:t>成果简介</w:t>
      </w:r>
    </w:p>
    <w:p w14:paraId="47ED24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 xml:space="preserve">页岩油是 21 世纪油气勘探开发的重要接替资源，我国页岩油资源丰富，储量排名全球第三，高效、经济的页岩油开发利用对降低我国原油对外依存度，提升我国能源安全阈值具有重大意义。准噶尔盆地玛北风城组以其最古老、最深层、超高产的特征在中国页岩油勘探界异军突起，是现阶段中国最现实的石油增储上产接替区。但风城组物源多样、沉积环境特殊，具有高频纹层发育、岩矿组合复杂多样、非均质性强、发育特殊碱类矿物等特点，与鄂尔多斯盆地、松辽盆地等发育的页岩类型差异大，且埋藏深度更深，使得其甜点识别与持续稳产难度大。而目前碱湖混积型页岩沉积演化模式不清、差异成储机制及控产机理不明、烃类差异赋存机理及原位表征难度大等问题，严重制约了页岩油的增储上产，是玛北页岩油勘探开发亟待解决的关键问题。 </w:t>
      </w:r>
    </w:p>
    <w:p w14:paraId="380D75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 xml:space="preserve">针对超深层碱湖混积型页岩勘探的需求和问题，项目组依托国家重大专项，经过10余年攻关，开展了针对风城组页岩喷发-沉积环境、岩矿组合、孔隙结构及赋存空间表征等方面的深入研究，集成创新“大型碱湖纹层型页岩成岩-成储-成藏机理及油气勘探实践”，有效推动风城组页岩油高效勘探和效益开发。主要创新点如下： </w:t>
      </w:r>
    </w:p>
    <w:p w14:paraId="5933DE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 xml:space="preserve">（1）研发了大型碱湖混积页岩的旋回-岩相组构-矿物纹层识别刻画技术，阐明了主力造岩矿物成因机制，构建了碱湖纹层型页岩沉积-成岩协同演化模式，实现了大型碱湖纹层型页岩高产岩相分类分区精细刻画评价及沉积成岩理论突破。 </w:t>
      </w:r>
    </w:p>
    <w:p w14:paraId="14CC51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 xml:space="preserve">（2）提出盐碱沉积环境分区约束下“自生硅酸盐矿物分异演化+有机酸差异溶蚀”的“矿物-孔隙-流体多元耦合”成储演化新模式，发现了超深层页岩油优势储层甜点段的空间发育与分布规律。 </w:t>
      </w:r>
    </w:p>
    <w:p w14:paraId="12C6F9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 xml:space="preserve">（3）创建了大型碱湖混积页岩油成藏要素全尺度、无损化、可视化定量表征体系，高气油比页岩游离烃分析准确度提升60%以上。明确了不同矿物纹层组合与油气赋存、富集的量化耦合关系，创新提出了玛北风城组厘米尺度下“源生邻储”|、“自生自储”2类油气微运聚成藏模式，实现超深层页岩油优势成藏区块的精准优选与高产层段投产预测。  </w:t>
      </w:r>
    </w:p>
    <w:p w14:paraId="733D41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 xml:space="preserve">本成果获授权发明专利10件，发表论文7篇，出版专著1部，获新疆油田基础研究一等奖。成果明确了主力甜点体，指导了玛页1、玛51X等高产井井段优选，有效推动玛湖亿吨级碱湖页岩油的勘探突破。应用区块近三年累计新增油量275.88万吨，新增销售额20.21亿元，新增利润2.38亿元。经贾承造院士、邹才能院士等9位院士及教授组成的鉴定委员会认为该成果整体达到国际先进水平，其中部分技术达到国际领先水平。 </w:t>
      </w:r>
    </w:p>
    <w:p w14:paraId="613943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 xml:space="preserve">    本成果支撑了新疆页岩油勘探开发重点实验室的建设，丰富了页岩油藏形成理论和认识，推动学科进步。项目启动以来，培养克拉玛依市领军人才、自治区天山雪松、中石油集团公司劳动模范等多名优秀人才。成果深化了碱湖页岩储层实验技术与地质理论，推动页岩油成储成藏理论的快速发展，保障了超深层碱湖页岩油全面突破，为新疆社会稳定、长治久安作出了贡献。 </w:t>
      </w:r>
    </w:p>
    <w:p w14:paraId="0EF6F4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17C797B8">
      <w:pPr>
        <w:numPr>
          <w:ilvl w:val="0"/>
          <w:numId w:val="1"/>
        </w:numPr>
        <w:rPr>
          <w:rFonts w:hint="default"/>
          <w:b/>
          <w:bCs/>
          <w:lang w:val="en-US" w:eastAsia="zh-CN"/>
        </w:rPr>
      </w:pPr>
      <w:r>
        <w:rPr>
          <w:rFonts w:hint="eastAsia"/>
          <w:b/>
          <w:bCs/>
          <w:lang w:val="en-US" w:eastAsia="zh-CN"/>
        </w:rPr>
        <w:t>客观评价</w:t>
      </w:r>
    </w:p>
    <w:p w14:paraId="4FA80C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1、</w:t>
      </w:r>
      <w:r>
        <w:rPr>
          <w:rFonts w:hint="eastAsia"/>
          <w:lang w:val="en-US" w:eastAsia="zh-CN"/>
        </w:rPr>
        <w:t>鉴定意见 2024年6月22日，中国石油和化学工业联合会组织专家开展成果鉴定会，由李阳、赵文智等7位院士及教授组成鉴定委员会，鉴定意见如下：“该成果整体达到国际先进水平，其中碱湖生物-环境协同演化过程中优质源储组合发育机理、矿物-孔隙-流体耦合的无损化、可视化、定量化原位表征技术处于国际领先水平，一致同意通过鉴定。”</w:t>
      </w:r>
    </w:p>
    <w:p w14:paraId="1441D1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2、</w:t>
      </w:r>
      <w:r>
        <w:rPr>
          <w:rFonts w:hint="eastAsia"/>
          <w:lang w:val="en-US" w:eastAsia="zh-CN"/>
        </w:rPr>
        <w:t xml:space="preserve">科技查新 2026年9月，中国化工信息中心有限公司在国内外范围内针对该项目的查新结论为：经国际范围的检索查证，委托方的技术在所查的国内外文献中，除委托方公开发表的文献外，未见与本项目针对超深层碱湖混积型页岩多元耦合高产机理与实验表征技术创新研究方法相同或类似的公开报道。 </w:t>
      </w:r>
    </w:p>
    <w:p w14:paraId="0526A1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default"/>
          <w:lang w:val="en-US" w:eastAsia="zh-CN"/>
        </w:rPr>
        <w:t>3、</w:t>
      </w:r>
      <w:r>
        <w:rPr>
          <w:rFonts w:hint="eastAsia"/>
          <w:lang w:val="en-US" w:eastAsia="zh-CN"/>
        </w:rPr>
        <w:t>获奖情况 2021年7月，项目成果“玛北斜坡区风城组沉积环境及生储特征精细研究”被授予中国石油天然气股份有限公司新疆油田分公司基础研究一等奖。</w:t>
      </w:r>
    </w:p>
    <w:p w14:paraId="25E223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31F902E4">
      <w:pPr>
        <w:numPr>
          <w:ilvl w:val="0"/>
          <w:numId w:val="1"/>
        </w:numPr>
        <w:rPr>
          <w:rFonts w:hint="default"/>
          <w:b/>
          <w:bCs/>
          <w:lang w:val="en-US" w:eastAsia="zh-CN"/>
        </w:rPr>
      </w:pPr>
      <w:r>
        <w:rPr>
          <w:rFonts w:hint="eastAsia" w:ascii="等线 Light" w:hAnsi="等线 Light" w:eastAsia="宋体" w:cs="宋体"/>
          <w:b/>
          <w:bCs/>
          <w:lang w:eastAsia="zh-CN"/>
        </w:rPr>
        <w:t>代表性论文专著目录</w:t>
      </w:r>
    </w:p>
    <w:p w14:paraId="18402B6E">
      <w:pPr>
        <w:keepNext w:val="0"/>
        <w:keepLines w:val="0"/>
        <w:suppressLineNumbers w:val="0"/>
        <w:spacing w:before="0" w:beforeAutospacing="0" w:after="0" w:afterAutospacing="0" w:line="360" w:lineRule="auto"/>
        <w:ind w:left="0" w:right="0"/>
        <w:rPr>
          <w:rFonts w:hint="default" w:ascii="宋体" w:hAnsi="宋体"/>
          <w:b/>
          <w:bCs/>
          <w:color w:val="000000"/>
          <w:szCs w:val="21"/>
        </w:rPr>
      </w:pPr>
      <w:r>
        <w:rPr>
          <w:rFonts w:hint="eastAsia" w:ascii="宋体" w:hAnsi="宋体"/>
          <w:b/>
          <w:bCs/>
          <w:color w:val="000000"/>
          <w:szCs w:val="21"/>
        </w:rPr>
        <w:t>论文</w:t>
      </w:r>
      <w:r>
        <w:rPr>
          <w:rFonts w:hint="eastAsia" w:ascii="宋体" w:hAnsi="宋体"/>
          <w:b/>
          <w:bCs/>
          <w:color w:val="000000"/>
          <w:szCs w:val="21"/>
          <w:lang w:val="en-US" w:eastAsia="zh-CN"/>
        </w:rPr>
        <w:t>7</w:t>
      </w:r>
      <w:r>
        <w:rPr>
          <w:rFonts w:hint="eastAsia" w:ascii="宋体" w:hAnsi="宋体"/>
          <w:b/>
          <w:bCs/>
          <w:color w:val="000000"/>
          <w:szCs w:val="21"/>
        </w:rPr>
        <w:t>篇，其中</w:t>
      </w:r>
      <w:r>
        <w:rPr>
          <w:rFonts w:hint="eastAsia" w:ascii="宋体" w:hAnsi="宋体"/>
          <w:b/>
          <w:bCs/>
          <w:color w:val="000000"/>
          <w:szCs w:val="21"/>
          <w:lang w:val="en-US" w:eastAsia="zh-CN"/>
        </w:rPr>
        <w:t>SCI</w:t>
      </w:r>
      <w:r>
        <w:rPr>
          <w:rFonts w:hint="eastAsia" w:ascii="宋体" w:hAnsi="宋体"/>
          <w:b/>
          <w:bCs/>
          <w:color w:val="000000"/>
          <w:szCs w:val="21"/>
        </w:rPr>
        <w:t>收录</w:t>
      </w:r>
      <w:r>
        <w:rPr>
          <w:rFonts w:hint="eastAsia" w:ascii="宋体" w:hAnsi="宋体"/>
          <w:b/>
          <w:bCs/>
          <w:color w:val="000000"/>
          <w:szCs w:val="21"/>
          <w:lang w:val="en-US" w:eastAsia="zh-CN"/>
        </w:rPr>
        <w:t>3</w:t>
      </w:r>
      <w:r>
        <w:rPr>
          <w:rFonts w:hint="eastAsia" w:ascii="宋体" w:hAnsi="宋体"/>
          <w:b/>
          <w:bCs/>
          <w:color w:val="000000"/>
          <w:szCs w:val="21"/>
        </w:rPr>
        <w:t>篇，EI收录</w:t>
      </w:r>
      <w:r>
        <w:rPr>
          <w:rFonts w:hint="eastAsia" w:ascii="宋体" w:hAnsi="宋体"/>
          <w:b/>
          <w:bCs/>
          <w:color w:val="000000"/>
          <w:szCs w:val="21"/>
          <w:lang w:val="en-US" w:eastAsia="zh-CN"/>
        </w:rPr>
        <w:t>3</w:t>
      </w:r>
      <w:r>
        <w:rPr>
          <w:rFonts w:hint="eastAsia" w:ascii="宋体" w:hAnsi="宋体"/>
          <w:b/>
          <w:bCs/>
          <w:color w:val="000000"/>
          <w:szCs w:val="21"/>
        </w:rPr>
        <w:t>篇：</w:t>
      </w:r>
    </w:p>
    <w:p w14:paraId="2B818CFD">
      <w:pPr>
        <w:keepNext w:val="0"/>
        <w:keepLines w:val="0"/>
        <w:suppressLineNumbers w:val="0"/>
        <w:spacing w:before="0" w:beforeAutospacing="0" w:after="0" w:afterAutospacing="0" w:line="360" w:lineRule="auto"/>
        <w:ind w:left="0" w:right="0"/>
        <w:rPr>
          <w:rFonts w:hint="default"/>
          <w:szCs w:val="21"/>
          <w:lang w:val="en-US" w:eastAsia="zh-CN"/>
        </w:rPr>
      </w:pPr>
      <w:r>
        <w:rPr>
          <w:rFonts w:hint="default"/>
          <w:color w:val="333333"/>
          <w:kern w:val="0"/>
          <w:szCs w:val="21"/>
        </w:rPr>
        <w:t xml:space="preserve">1. </w:t>
      </w:r>
      <w:r>
        <w:rPr>
          <w:rFonts w:hint="eastAsia"/>
          <w:szCs w:val="21"/>
          <w:lang w:val="en-US" w:eastAsia="zh-CN"/>
        </w:rPr>
        <w:t>Jian Wang;Jun Jin;Jin Liu;Jingqiang Tan;Lichang Chen;Haisu Cui;Xiao Ma;Xueqi Song. Hydrocarbon Generation Mechanism of Mixed Siliciclastic–Carbonate Shale: Implications from Semi–Closed Hydrous Pyrolysis[J].Energies,2023.</w:t>
      </w:r>
    </w:p>
    <w:p w14:paraId="0C523160">
      <w:pPr>
        <w:keepNext w:val="0"/>
        <w:keepLines w:val="0"/>
        <w:suppressLineNumbers w:val="0"/>
        <w:spacing w:before="0" w:beforeAutospacing="0" w:after="0" w:afterAutospacing="0" w:line="360" w:lineRule="auto"/>
        <w:ind w:left="0" w:right="0"/>
        <w:rPr>
          <w:rFonts w:hint="eastAsia"/>
          <w:szCs w:val="21"/>
          <w:lang w:val="en-US" w:eastAsia="zh-CN"/>
        </w:rPr>
      </w:pPr>
      <w:r>
        <w:rPr>
          <w:rFonts w:hint="eastAsia"/>
          <w:szCs w:val="21"/>
          <w:lang w:val="en-US" w:eastAsia="zh-CN"/>
        </w:rPr>
        <w:t>2. Guo Pei,Wen Huaguo,Li Changzhi,Jin Jun,Lei Haiyan.Origin and enrichment of borates in a Late Paleozoic alkaline lake-playa deposit, Junggar Basin, NW China[J].Ore Geology Reviews,2021,138</w:t>
      </w:r>
    </w:p>
    <w:p w14:paraId="0A9D7AC0">
      <w:pPr>
        <w:keepNext w:val="0"/>
        <w:keepLines w:val="0"/>
        <w:suppressLineNumbers w:val="0"/>
        <w:spacing w:before="0" w:beforeAutospacing="0" w:after="0" w:afterAutospacing="0" w:line="360" w:lineRule="auto"/>
        <w:ind w:left="0" w:right="0"/>
        <w:rPr>
          <w:rFonts w:hint="eastAsia"/>
          <w:szCs w:val="21"/>
          <w:lang w:val="en-US" w:eastAsia="zh-CN"/>
        </w:rPr>
      </w:pPr>
      <w:r>
        <w:rPr>
          <w:rFonts w:hint="eastAsia"/>
          <w:szCs w:val="21"/>
          <w:lang w:val="en-US" w:eastAsia="zh-CN"/>
        </w:rPr>
        <w:t>3. Guo Pei;Wen Huaguo;Gibert Luis;Jin Jun;Wang Jian;Lei Haiyan. Deposition and diagenesis of the Early Permian volcanic-related alkaline playa-lake dolomitic shales, NW Junggar Basin, NW China[J].Marine and Petroleum Geology,2021.</w:t>
      </w:r>
    </w:p>
    <w:p w14:paraId="7FFAC66D">
      <w:pPr>
        <w:keepNext w:val="0"/>
        <w:keepLines w:val="0"/>
        <w:numPr>
          <w:ilvl w:val="0"/>
          <w:numId w:val="0"/>
        </w:numPr>
        <w:suppressLineNumbers w:val="0"/>
        <w:spacing w:before="0" w:beforeAutospacing="0" w:after="0" w:afterAutospacing="0" w:line="360" w:lineRule="auto"/>
        <w:ind w:left="0" w:right="0" w:rightChars="0"/>
        <w:rPr>
          <w:rFonts w:hint="eastAsia"/>
          <w:szCs w:val="21"/>
          <w:lang w:val="en-US" w:eastAsia="zh-CN"/>
        </w:rPr>
      </w:pPr>
      <w:r>
        <w:rPr>
          <w:rFonts w:hint="eastAsia"/>
          <w:szCs w:val="21"/>
          <w:lang w:val="en-US" w:eastAsia="zh-CN"/>
        </w:rPr>
        <w:t>4. 郭佩,柏淑英,李长志,等.准噶尔盆地玛湖凹陷风城组页岩自生长英质矿物的成因机理及其储层改造意义[J].地质学报,2023,97(07):2311-2331</w:t>
      </w:r>
    </w:p>
    <w:p w14:paraId="2018A6D5">
      <w:pPr>
        <w:keepNext w:val="0"/>
        <w:keepLines w:val="0"/>
        <w:numPr>
          <w:ilvl w:val="0"/>
          <w:numId w:val="0"/>
        </w:numPr>
        <w:suppressLineNumbers w:val="0"/>
        <w:spacing w:before="0" w:beforeAutospacing="0" w:after="0" w:afterAutospacing="0" w:line="360" w:lineRule="auto"/>
        <w:ind w:left="0" w:right="0" w:rightChars="0"/>
        <w:rPr>
          <w:rFonts w:hint="eastAsia"/>
          <w:szCs w:val="21"/>
          <w:lang w:val="en-US" w:eastAsia="zh-CN"/>
        </w:rPr>
      </w:pPr>
      <w:r>
        <w:rPr>
          <w:rFonts w:hint="eastAsia"/>
          <w:szCs w:val="21"/>
          <w:lang w:val="en-US" w:eastAsia="zh-CN"/>
        </w:rPr>
        <w:t>5. 郭佩,李长志.含油气盆地蒸发盐矿物成因类型及其地质意义[J].古地理学报,2022,24(02):210-225.</w:t>
      </w:r>
    </w:p>
    <w:p w14:paraId="556C394E">
      <w:pPr>
        <w:keepNext w:val="0"/>
        <w:keepLines w:val="0"/>
        <w:numPr>
          <w:ilvl w:val="0"/>
          <w:numId w:val="0"/>
        </w:numPr>
        <w:suppressLineNumbers w:val="0"/>
        <w:spacing w:before="0" w:beforeAutospacing="0" w:after="0" w:afterAutospacing="0" w:line="360" w:lineRule="auto"/>
        <w:ind w:left="0" w:right="0" w:rightChars="0"/>
        <w:rPr>
          <w:rFonts w:hint="eastAsia"/>
          <w:szCs w:val="21"/>
          <w:lang w:val="en-US" w:eastAsia="zh-CN"/>
        </w:rPr>
      </w:pPr>
      <w:r>
        <w:rPr>
          <w:rFonts w:hint="eastAsia"/>
          <w:szCs w:val="21"/>
          <w:lang w:val="en-US" w:eastAsia="zh-CN"/>
        </w:rPr>
        <w:t>6. 王剑,周路,刘金,等.湖相热液白云岩成因机理——以准噶尔盆地玛湖凹陷二叠系风城组为例[J].沉积学报,2024,42(01):130-141.</w:t>
      </w:r>
    </w:p>
    <w:p w14:paraId="1F4DD07F">
      <w:pPr>
        <w:keepNext w:val="0"/>
        <w:keepLines w:val="0"/>
        <w:numPr>
          <w:ilvl w:val="0"/>
          <w:numId w:val="0"/>
        </w:numPr>
        <w:suppressLineNumbers w:val="0"/>
        <w:spacing w:before="0" w:beforeAutospacing="0" w:after="0" w:afterAutospacing="0" w:line="360" w:lineRule="auto"/>
        <w:ind w:left="0" w:right="0" w:rightChars="0"/>
        <w:rPr>
          <w:rFonts w:hint="eastAsia"/>
          <w:szCs w:val="21"/>
          <w:lang w:val="en-US" w:eastAsia="zh-CN"/>
        </w:rPr>
      </w:pPr>
      <w:r>
        <w:rPr>
          <w:rFonts w:hint="eastAsia"/>
          <w:szCs w:val="21"/>
          <w:lang w:val="en-US" w:eastAsia="zh-CN"/>
        </w:rPr>
        <w:t>7. 雷海艳,郭佩,孟颖,对玛湖凹陷二叠系风城组页岩油储层孔隙结构及分类评价[J].岩性油气藏,2022,34(03):142-153.</w:t>
      </w:r>
    </w:p>
    <w:p w14:paraId="433E5B11">
      <w:pPr>
        <w:keepNext w:val="0"/>
        <w:keepLines w:val="0"/>
        <w:numPr>
          <w:ilvl w:val="0"/>
          <w:numId w:val="0"/>
        </w:numPr>
        <w:suppressLineNumbers w:val="0"/>
        <w:spacing w:before="0" w:beforeAutospacing="0" w:after="0" w:afterAutospacing="0" w:line="360" w:lineRule="auto"/>
        <w:ind w:left="0" w:right="0" w:rightChars="0"/>
        <w:rPr>
          <w:rFonts w:hint="eastAsia"/>
          <w:b/>
          <w:bCs/>
          <w:szCs w:val="21"/>
          <w:lang w:val="en-US" w:eastAsia="zh-CN"/>
        </w:rPr>
      </w:pPr>
      <w:r>
        <w:rPr>
          <w:rFonts w:hint="eastAsia"/>
          <w:b/>
          <w:bCs/>
          <w:szCs w:val="21"/>
          <w:lang w:val="en-US" w:eastAsia="zh-CN"/>
        </w:rPr>
        <w:t>专著1部：</w:t>
      </w:r>
    </w:p>
    <w:p w14:paraId="363B05BF">
      <w:pPr>
        <w:numPr>
          <w:ilvl w:val="0"/>
          <w:numId w:val="0"/>
        </w:numPr>
        <w:rPr>
          <w:rFonts w:hint="default"/>
          <w:b/>
          <w:bCs/>
          <w:lang w:val="en-US" w:eastAsia="zh-CN"/>
        </w:rPr>
      </w:pPr>
      <w:r>
        <w:rPr>
          <w:rFonts w:hint="eastAsia"/>
          <w:szCs w:val="21"/>
          <w:lang w:val="en-US" w:eastAsia="zh-CN"/>
        </w:rPr>
        <w:t>靳军，雷海艳，郭佩等，玛湖凹陷风城组喷发-沉积环境研究[M],石油工业出版社，2023.</w:t>
      </w:r>
    </w:p>
    <w:p w14:paraId="588BAA1B">
      <w:pPr>
        <w:numPr>
          <w:ilvl w:val="0"/>
          <w:numId w:val="0"/>
        </w:numPr>
        <w:rPr>
          <w:rFonts w:hint="default"/>
          <w:b/>
          <w:bCs/>
          <w:lang w:val="en-US" w:eastAsia="zh-CN"/>
        </w:rPr>
      </w:pPr>
    </w:p>
    <w:p w14:paraId="12363732">
      <w:pPr>
        <w:numPr>
          <w:ilvl w:val="0"/>
          <w:numId w:val="1"/>
        </w:numPr>
        <w:rPr>
          <w:rFonts w:hint="default"/>
          <w:b/>
          <w:bCs/>
          <w:lang w:val="en-US" w:eastAsia="zh-CN"/>
        </w:rPr>
      </w:pPr>
      <w:r>
        <w:rPr>
          <w:rFonts w:hint="eastAsia"/>
          <w:b/>
          <w:bCs/>
          <w:lang w:val="en-US" w:eastAsia="zh-CN"/>
        </w:rPr>
        <w:t>主要知识产权和标准规范等目录</w:t>
      </w:r>
    </w:p>
    <w:p w14:paraId="4EC67E81">
      <w:pPr>
        <w:keepNext w:val="0"/>
        <w:keepLines w:val="0"/>
        <w:suppressLineNumbers w:val="0"/>
        <w:spacing w:before="0" w:beforeAutospacing="0" w:after="0" w:afterAutospacing="0" w:line="300" w:lineRule="auto"/>
        <w:ind w:left="0" w:right="0"/>
        <w:rPr>
          <w:rFonts w:hint="eastAsia" w:ascii="宋体" w:hAnsi="宋体" w:eastAsia="宋体"/>
          <w:b w:val="0"/>
          <w:bCs/>
          <w:color w:val="000000"/>
          <w:szCs w:val="21"/>
          <w:highlight w:val="none"/>
          <w:lang w:eastAsia="zh-CN"/>
        </w:rPr>
      </w:pPr>
      <w:r>
        <w:rPr>
          <w:rFonts w:hint="eastAsia" w:ascii="宋体" w:hAnsi="宋体"/>
          <w:b w:val="0"/>
          <w:bCs/>
          <w:color w:val="000000"/>
          <w:szCs w:val="21"/>
          <w:highlight w:val="none"/>
          <w:lang w:eastAsia="zh-CN"/>
        </w:rPr>
        <w:t>发明专利：</w:t>
      </w:r>
    </w:p>
    <w:p w14:paraId="4D52EB1E">
      <w:pPr>
        <w:keepNext w:val="0"/>
        <w:keepLines w:val="0"/>
        <w:numPr>
          <w:ilvl w:val="0"/>
          <w:numId w:val="2"/>
        </w:numPr>
        <w:suppressLineNumbers w:val="0"/>
        <w:spacing w:before="0" w:beforeAutospacing="0" w:after="0" w:afterAutospacing="0" w:line="300" w:lineRule="auto"/>
        <w:ind w:right="0"/>
        <w:jc w:val="left"/>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张新荣</w:t>
      </w:r>
      <w:r>
        <w:rPr>
          <w:rFonts w:hint="eastAsia" w:ascii="宋体" w:hAnsi="宋体" w:cs="宋体"/>
          <w:color w:val="000000"/>
          <w:kern w:val="0"/>
          <w:szCs w:val="21"/>
          <w:highlight w:val="none"/>
          <w:lang w:val="en-US" w:eastAsia="zh-CN"/>
        </w:rPr>
        <w:t xml:space="preserve"> </w:t>
      </w:r>
      <w:r>
        <w:rPr>
          <w:rFonts w:hint="eastAsia" w:ascii="宋体" w:hAnsi="宋体" w:cs="宋体"/>
          <w:color w:val="000000"/>
          <w:kern w:val="0"/>
          <w:szCs w:val="21"/>
          <w:highlight w:val="none"/>
          <w:lang w:eastAsia="zh-CN"/>
        </w:rPr>
        <w:t>等.《一种现代湖泊细粒落淤沉积物的收集装置》</w:t>
      </w:r>
      <w:r>
        <w:rPr>
          <w:rFonts w:hint="eastAsia" w:ascii="宋体" w:hAnsi="宋体" w:cs="宋体"/>
          <w:color w:val="000000"/>
          <w:kern w:val="0"/>
          <w:szCs w:val="21"/>
          <w:highlight w:val="none"/>
          <w:lang w:val="en-US" w:eastAsia="zh-CN"/>
        </w:rPr>
        <w:t>.授权号：ZL 2021 1 0286463.9</w:t>
      </w:r>
    </w:p>
    <w:p w14:paraId="0458BADF">
      <w:pPr>
        <w:keepNext w:val="0"/>
        <w:keepLines w:val="0"/>
        <w:numPr>
          <w:ilvl w:val="0"/>
          <w:numId w:val="2"/>
        </w:numPr>
        <w:suppressLineNumbers w:val="0"/>
        <w:spacing w:before="0" w:beforeAutospacing="0" w:after="0" w:afterAutospacing="0" w:line="300" w:lineRule="auto"/>
        <w:ind w:right="0"/>
        <w:jc w:val="left"/>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张新荣</w:t>
      </w:r>
      <w:r>
        <w:rPr>
          <w:rFonts w:hint="eastAsia" w:ascii="宋体" w:hAnsi="宋体" w:cs="宋体"/>
          <w:color w:val="000000"/>
          <w:kern w:val="0"/>
          <w:szCs w:val="21"/>
          <w:highlight w:val="none"/>
          <w:lang w:val="en-US" w:eastAsia="zh-CN"/>
        </w:rPr>
        <w:t xml:space="preserve"> </w:t>
      </w:r>
      <w:r>
        <w:rPr>
          <w:rFonts w:hint="eastAsia" w:ascii="宋体" w:hAnsi="宋体" w:cs="宋体"/>
          <w:color w:val="000000"/>
          <w:kern w:val="0"/>
          <w:szCs w:val="21"/>
          <w:highlight w:val="none"/>
          <w:lang w:eastAsia="zh-CN"/>
        </w:rPr>
        <w:t>等.《一种连续沉积物古气候代用指标他生旋回变化的分析方法》</w:t>
      </w:r>
      <w:r>
        <w:rPr>
          <w:rFonts w:hint="eastAsia" w:ascii="宋体" w:hAnsi="宋体" w:cs="宋体"/>
          <w:color w:val="000000"/>
          <w:kern w:val="0"/>
          <w:szCs w:val="21"/>
          <w:highlight w:val="none"/>
          <w:lang w:val="en-US" w:eastAsia="zh-CN"/>
        </w:rPr>
        <w:t>.授权号：ZL 2021 1 0294450.6</w:t>
      </w:r>
    </w:p>
    <w:p w14:paraId="2167FD2B">
      <w:pPr>
        <w:keepNext w:val="0"/>
        <w:keepLines w:val="0"/>
        <w:numPr>
          <w:ilvl w:val="0"/>
          <w:numId w:val="2"/>
        </w:numPr>
        <w:suppressLineNumbers w:val="0"/>
        <w:spacing w:before="0" w:beforeAutospacing="0" w:after="0" w:afterAutospacing="0" w:line="300" w:lineRule="auto"/>
        <w:ind w:right="0"/>
        <w:jc w:val="left"/>
        <w:rPr>
          <w:rFonts w:hint="default" w:ascii="宋体" w:hAnsi="宋体" w:cs="宋体"/>
          <w:color w:val="000000"/>
          <w:kern w:val="0"/>
          <w:szCs w:val="21"/>
          <w:highlight w:val="none"/>
        </w:rPr>
      </w:pPr>
      <w:r>
        <w:rPr>
          <w:rFonts w:hint="default" w:ascii="宋体" w:hAnsi="宋体" w:cs="宋体"/>
          <w:color w:val="000000"/>
          <w:kern w:val="0"/>
          <w:szCs w:val="21"/>
          <w:highlight w:val="none"/>
        </w:rPr>
        <w:t>高崇龙</w:t>
      </w:r>
      <w:r>
        <w:rPr>
          <w:rFonts w:hint="eastAsia" w:ascii="宋体" w:hAnsi="宋体" w:cs="宋体"/>
          <w:color w:val="000000"/>
          <w:kern w:val="0"/>
          <w:szCs w:val="21"/>
          <w:highlight w:val="none"/>
          <w:lang w:val="en-US" w:eastAsia="zh-CN"/>
        </w:rPr>
        <w:t xml:space="preserve"> 等. 《</w:t>
      </w:r>
      <w:r>
        <w:rPr>
          <w:rFonts w:hint="default" w:ascii="宋体" w:hAnsi="宋体" w:cs="宋体"/>
          <w:color w:val="000000"/>
          <w:kern w:val="0"/>
          <w:szCs w:val="21"/>
          <w:highlight w:val="none"/>
        </w:rPr>
        <w:t>一种模拟阵发性洪水沉积过程的水槽实验装置及实验方法</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lang w:val="en-US" w:eastAsia="zh-CN"/>
        </w:rPr>
        <w:t>.授权号：ZL 2020 1 1078715.5</w:t>
      </w:r>
    </w:p>
    <w:p w14:paraId="2410804D">
      <w:pPr>
        <w:keepNext w:val="0"/>
        <w:keepLines w:val="0"/>
        <w:numPr>
          <w:ilvl w:val="0"/>
          <w:numId w:val="2"/>
        </w:numPr>
        <w:suppressLineNumbers w:val="0"/>
        <w:spacing w:before="0" w:beforeAutospacing="0" w:after="0" w:afterAutospacing="0" w:line="300" w:lineRule="auto"/>
        <w:ind w:right="0"/>
        <w:jc w:val="left"/>
        <w:rPr>
          <w:rFonts w:hint="default" w:ascii="宋体" w:hAnsi="宋体" w:cs="宋体"/>
          <w:color w:val="000000"/>
          <w:kern w:val="0"/>
          <w:szCs w:val="21"/>
          <w:highlight w:val="none"/>
        </w:rPr>
      </w:pPr>
      <w:r>
        <w:rPr>
          <w:rFonts w:hint="eastAsia" w:ascii="宋体" w:hAnsi="宋体" w:cs="宋体"/>
          <w:color w:val="000000"/>
          <w:kern w:val="0"/>
          <w:szCs w:val="21"/>
          <w:highlight w:val="none"/>
          <w:lang w:eastAsia="zh-CN"/>
        </w:rPr>
        <w:t>郝红永</w:t>
      </w:r>
      <w:r>
        <w:rPr>
          <w:rFonts w:hint="eastAsia" w:ascii="宋体" w:hAnsi="宋体" w:cs="宋体"/>
          <w:color w:val="000000"/>
          <w:kern w:val="0"/>
          <w:szCs w:val="21"/>
          <w:highlight w:val="none"/>
          <w:lang w:val="en-US" w:eastAsia="zh-CN"/>
        </w:rPr>
        <w:t xml:space="preserve"> 等. 《</w:t>
      </w:r>
      <w:r>
        <w:rPr>
          <w:rFonts w:hint="eastAsia" w:ascii="宋体" w:hAnsi="宋体" w:cs="宋体"/>
          <w:color w:val="000000"/>
          <w:kern w:val="0"/>
          <w:szCs w:val="21"/>
          <w:highlight w:val="none"/>
          <w:lang w:eastAsia="zh-CN"/>
        </w:rPr>
        <w:t>一</w:t>
      </w:r>
      <w:r>
        <w:rPr>
          <w:rFonts w:hint="default" w:ascii="宋体" w:hAnsi="宋体" w:cs="宋体"/>
          <w:color w:val="000000"/>
          <w:kern w:val="0"/>
          <w:szCs w:val="21"/>
          <w:highlight w:val="none"/>
        </w:rPr>
        <w:t>种用于高温高压下岩石三轴应力及声发射测试的试验机</w:t>
      </w:r>
      <w:r>
        <w:rPr>
          <w:rFonts w:hint="default" w:ascii="宋体" w:hAnsi="宋体" w:cs="宋体"/>
          <w:color w:val="000000"/>
          <w:kern w:val="0"/>
          <w:szCs w:val="21"/>
          <w:highlight w:val="none"/>
          <w:lang w:eastAsia="zh-CN"/>
        </w:rPr>
        <w:t>》</w:t>
      </w:r>
      <w:r>
        <w:rPr>
          <w:rFonts w:hint="default" w:ascii="宋体" w:hAnsi="宋体" w:cs="宋体"/>
          <w:color w:val="000000"/>
          <w:kern w:val="0"/>
          <w:szCs w:val="21"/>
          <w:highlight w:val="none"/>
          <w:lang w:val="en-US" w:eastAsia="zh-CN"/>
        </w:rPr>
        <w:t>.授权号：ZL 2021 1 0309122.4</w:t>
      </w:r>
    </w:p>
    <w:p w14:paraId="6FEA7754">
      <w:pPr>
        <w:keepNext w:val="0"/>
        <w:keepLines w:val="0"/>
        <w:numPr>
          <w:ilvl w:val="0"/>
          <w:numId w:val="2"/>
        </w:numPr>
        <w:suppressLineNumbers w:val="0"/>
        <w:spacing w:before="0" w:beforeAutospacing="0" w:after="0" w:afterAutospacing="0" w:line="300" w:lineRule="auto"/>
        <w:ind w:right="0"/>
        <w:jc w:val="left"/>
        <w:rPr>
          <w:rFonts w:hint="default" w:ascii="宋体" w:hAnsi="宋体" w:cs="宋体"/>
          <w:color w:val="000000"/>
          <w:kern w:val="0"/>
          <w:szCs w:val="21"/>
          <w:highlight w:val="none"/>
        </w:rPr>
      </w:pPr>
      <w:r>
        <w:rPr>
          <w:rFonts w:hint="default" w:ascii="宋体" w:hAnsi="宋体" w:cs="宋体"/>
          <w:color w:val="000000"/>
          <w:kern w:val="0"/>
          <w:szCs w:val="21"/>
          <w:highlight w:val="none"/>
          <w:lang w:eastAsia="zh-CN"/>
        </w:rPr>
        <w:t>张新荣</w:t>
      </w:r>
      <w:r>
        <w:rPr>
          <w:rFonts w:hint="default" w:ascii="宋体" w:hAnsi="宋体" w:cs="宋体"/>
          <w:color w:val="000000"/>
          <w:kern w:val="0"/>
          <w:szCs w:val="21"/>
          <w:highlight w:val="none"/>
          <w:lang w:val="en-US" w:eastAsia="zh-CN"/>
        </w:rPr>
        <w:t xml:space="preserve"> </w:t>
      </w:r>
      <w:r>
        <w:rPr>
          <w:rFonts w:hint="default" w:ascii="宋体" w:hAnsi="宋体" w:cs="宋体"/>
          <w:color w:val="000000"/>
          <w:kern w:val="0"/>
          <w:szCs w:val="21"/>
          <w:highlight w:val="none"/>
          <w:lang w:eastAsia="zh-CN"/>
        </w:rPr>
        <w:t>等.《</w:t>
      </w:r>
      <w:r>
        <w:rPr>
          <w:rFonts w:hint="default" w:ascii="宋体" w:hAnsi="宋体" w:cs="宋体"/>
          <w:color w:val="000000"/>
          <w:kern w:val="0"/>
          <w:szCs w:val="21"/>
          <w:highlight w:val="none"/>
        </w:rPr>
        <w:t>烧失量数据重建古气候的分析方法、系统、介质及终端</w:t>
      </w:r>
      <w:r>
        <w:rPr>
          <w:rFonts w:hint="default" w:ascii="宋体" w:hAnsi="宋体" w:cs="宋体"/>
          <w:color w:val="000000"/>
          <w:kern w:val="0"/>
          <w:szCs w:val="21"/>
          <w:highlight w:val="none"/>
          <w:lang w:eastAsia="zh-CN"/>
        </w:rPr>
        <w:t>》</w:t>
      </w:r>
      <w:r>
        <w:rPr>
          <w:rFonts w:hint="default" w:ascii="宋体" w:hAnsi="宋体" w:cs="宋体"/>
          <w:color w:val="000000"/>
          <w:kern w:val="0"/>
          <w:szCs w:val="21"/>
          <w:highlight w:val="none"/>
          <w:lang w:val="en-US" w:eastAsia="zh-CN"/>
        </w:rPr>
        <w:t>.授权号：ZL 2022 1 0320643.9</w:t>
      </w:r>
    </w:p>
    <w:p w14:paraId="3A1FB614">
      <w:pPr>
        <w:keepNext w:val="0"/>
        <w:keepLines w:val="0"/>
        <w:numPr>
          <w:ilvl w:val="0"/>
          <w:numId w:val="2"/>
        </w:numPr>
        <w:suppressLineNumbers w:val="0"/>
        <w:spacing w:before="0" w:beforeAutospacing="0" w:after="0" w:afterAutospacing="0" w:line="300" w:lineRule="auto"/>
        <w:ind w:right="0"/>
        <w:jc w:val="left"/>
        <w:rPr>
          <w:rFonts w:hint="default" w:ascii="宋体" w:hAnsi="宋体" w:cs="宋体"/>
          <w:color w:val="000000"/>
          <w:kern w:val="0"/>
          <w:szCs w:val="21"/>
          <w:highlight w:val="none"/>
          <w:lang w:eastAsia="zh-CN"/>
        </w:rPr>
      </w:pPr>
      <w:r>
        <w:rPr>
          <w:rFonts w:hint="default" w:ascii="宋体" w:hAnsi="宋体" w:cs="宋体"/>
          <w:color w:val="000000"/>
          <w:kern w:val="0"/>
          <w:szCs w:val="21"/>
          <w:highlight w:val="none"/>
          <w:lang w:val="en-US" w:eastAsia="zh-CN"/>
        </w:rPr>
        <w:t>李治平 等.《油藏数值模拟的边界处理方法及装置》.授权号：ZL 2012 1 0575346.5</w:t>
      </w:r>
    </w:p>
    <w:p w14:paraId="6CE5BF08">
      <w:pPr>
        <w:keepNext w:val="0"/>
        <w:keepLines w:val="0"/>
        <w:numPr>
          <w:ilvl w:val="0"/>
          <w:numId w:val="2"/>
        </w:numPr>
        <w:suppressLineNumbers w:val="0"/>
        <w:spacing w:before="0" w:beforeAutospacing="0" w:after="0" w:afterAutospacing="0" w:line="300" w:lineRule="auto"/>
        <w:ind w:right="0"/>
        <w:jc w:val="left"/>
        <w:rPr>
          <w:rFonts w:hint="default" w:ascii="宋体" w:hAnsi="宋体" w:cs="宋体"/>
          <w:color w:val="000000"/>
          <w:kern w:val="0"/>
          <w:szCs w:val="21"/>
          <w:highlight w:val="none"/>
        </w:rPr>
      </w:pPr>
      <w:r>
        <w:rPr>
          <w:rFonts w:hint="default" w:ascii="宋体" w:hAnsi="宋体" w:cs="宋体"/>
          <w:color w:val="000000"/>
          <w:kern w:val="0"/>
          <w:szCs w:val="21"/>
          <w:highlight w:val="none"/>
          <w:lang w:eastAsia="zh-CN"/>
        </w:rPr>
        <w:t>李治平</w:t>
      </w:r>
      <w:r>
        <w:rPr>
          <w:rFonts w:hint="default" w:ascii="宋体" w:hAnsi="宋体" w:cs="宋体"/>
          <w:color w:val="000000"/>
          <w:kern w:val="0"/>
          <w:szCs w:val="21"/>
          <w:highlight w:val="none"/>
          <w:lang w:val="en-US" w:eastAsia="zh-CN"/>
        </w:rPr>
        <w:t xml:space="preserve"> 等.《</w:t>
      </w:r>
      <w:r>
        <w:rPr>
          <w:rFonts w:hint="default" w:ascii="宋体" w:hAnsi="宋体" w:cs="宋体"/>
          <w:color w:val="000000"/>
          <w:kern w:val="0"/>
          <w:szCs w:val="21"/>
          <w:highlight w:val="none"/>
        </w:rPr>
        <w:t>基于核磁共振实验评价致密气储层液相滞留程度的方法</w:t>
      </w:r>
      <w:r>
        <w:rPr>
          <w:rFonts w:hint="default" w:ascii="宋体" w:hAnsi="宋体" w:cs="宋体"/>
          <w:color w:val="000000"/>
          <w:kern w:val="0"/>
          <w:szCs w:val="21"/>
          <w:highlight w:val="none"/>
          <w:lang w:eastAsia="zh-CN"/>
        </w:rPr>
        <w:t>》</w:t>
      </w:r>
      <w:r>
        <w:rPr>
          <w:rFonts w:hint="default" w:ascii="宋体" w:hAnsi="宋体" w:cs="宋体"/>
          <w:color w:val="000000"/>
          <w:kern w:val="0"/>
          <w:szCs w:val="21"/>
          <w:highlight w:val="none"/>
          <w:lang w:val="en-US" w:eastAsia="zh-CN"/>
        </w:rPr>
        <w:t>.授权号：ZL 2022 1 0898356.6</w:t>
      </w:r>
    </w:p>
    <w:p w14:paraId="03E2A3F5">
      <w:pPr>
        <w:keepNext w:val="0"/>
        <w:keepLines w:val="0"/>
        <w:numPr>
          <w:ilvl w:val="0"/>
          <w:numId w:val="2"/>
        </w:numPr>
        <w:suppressLineNumbers w:val="0"/>
        <w:spacing w:before="0" w:beforeAutospacing="0" w:after="0" w:afterAutospacing="0" w:line="300" w:lineRule="auto"/>
        <w:ind w:right="0"/>
        <w:jc w:val="left"/>
        <w:rPr>
          <w:rFonts w:hint="eastAsia" w:ascii="宋体" w:hAnsi="宋体" w:cs="宋体"/>
          <w:color w:val="000000"/>
          <w:kern w:val="0"/>
          <w:szCs w:val="21"/>
          <w:highlight w:val="none"/>
          <w:lang w:val="en-US" w:eastAsia="zh-CN"/>
        </w:rPr>
      </w:pPr>
      <w:r>
        <w:rPr>
          <w:rFonts w:hint="eastAsia" w:ascii="宋体" w:hAnsi="宋体" w:cs="宋体"/>
          <w:color w:val="000000"/>
          <w:kern w:val="0"/>
          <w:szCs w:val="21"/>
          <w:highlight w:val="none"/>
          <w:lang w:eastAsia="zh-CN"/>
        </w:rPr>
        <w:t>李治平</w:t>
      </w:r>
      <w:r>
        <w:rPr>
          <w:rFonts w:hint="eastAsia" w:ascii="宋体" w:hAnsi="宋体" w:cs="宋体"/>
          <w:color w:val="000000"/>
          <w:kern w:val="0"/>
          <w:szCs w:val="21"/>
          <w:highlight w:val="none"/>
          <w:lang w:val="en-US" w:eastAsia="zh-CN"/>
        </w:rPr>
        <w:t xml:space="preserve"> 等.《一种用于超临界CO2岩心伤害的高温高压反应釜》.授权号：ZL 2015 1 0484941.1</w:t>
      </w:r>
    </w:p>
    <w:p w14:paraId="1C1D763A">
      <w:pPr>
        <w:keepNext w:val="0"/>
        <w:keepLines w:val="0"/>
        <w:numPr>
          <w:ilvl w:val="0"/>
          <w:numId w:val="2"/>
        </w:numPr>
        <w:suppressLineNumbers w:val="0"/>
        <w:spacing w:before="0" w:beforeAutospacing="0" w:after="0" w:afterAutospacing="0" w:line="300" w:lineRule="auto"/>
        <w:ind w:right="0"/>
        <w:jc w:val="left"/>
        <w:rPr>
          <w:rFonts w:hint="eastAsia" w:ascii="宋体" w:hAnsi="宋体" w:cs="宋体"/>
          <w:color w:val="000000"/>
          <w:kern w:val="0"/>
          <w:szCs w:val="21"/>
          <w:highlight w:val="none"/>
          <w:lang w:val="en-US" w:eastAsia="zh-CN"/>
        </w:rPr>
      </w:pPr>
      <w:r>
        <w:rPr>
          <w:rFonts w:hint="eastAsia" w:ascii="宋体" w:hAnsi="宋体" w:cs="宋体"/>
          <w:color w:val="000000"/>
          <w:kern w:val="0"/>
          <w:szCs w:val="21"/>
          <w:highlight w:val="none"/>
          <w:lang w:eastAsia="zh-CN"/>
        </w:rPr>
        <w:t>李治平</w:t>
      </w:r>
      <w:r>
        <w:rPr>
          <w:rFonts w:hint="eastAsia" w:ascii="宋体" w:hAnsi="宋体" w:cs="宋体"/>
          <w:color w:val="000000"/>
          <w:kern w:val="0"/>
          <w:szCs w:val="21"/>
          <w:highlight w:val="none"/>
          <w:lang w:val="en-US" w:eastAsia="zh-CN"/>
        </w:rPr>
        <w:t xml:space="preserve"> 等.《一种新型黑油、组分一体化混合数值模拟方法及装置》.授权号：ZL 2012 1 0475347.X</w:t>
      </w:r>
    </w:p>
    <w:p w14:paraId="50DF209D">
      <w:pPr>
        <w:keepNext w:val="0"/>
        <w:keepLines w:val="0"/>
        <w:numPr>
          <w:ilvl w:val="0"/>
          <w:numId w:val="2"/>
        </w:numPr>
        <w:suppressLineNumbers w:val="0"/>
        <w:spacing w:before="0" w:beforeAutospacing="0" w:after="0" w:afterAutospacing="0" w:line="300" w:lineRule="auto"/>
        <w:ind w:right="0"/>
        <w:jc w:val="left"/>
        <w:rPr>
          <w:rFonts w:hint="eastAsia" w:ascii="宋体" w:hAnsi="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李治平 等.《一种基于校正稳定流压的修正等时试井资料解释方法》.授权号：ZL 2018 1 1065853.8</w:t>
      </w:r>
    </w:p>
    <w:p w14:paraId="77CE5858">
      <w:pPr>
        <w:numPr>
          <w:ilvl w:val="0"/>
          <w:numId w:val="0"/>
        </w:numPr>
        <w:rPr>
          <w:rFonts w:hint="default"/>
          <w:b/>
          <w:bCs/>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62803B"/>
    <w:multiLevelType w:val="singleLevel"/>
    <w:tmpl w:val="BA62803B"/>
    <w:lvl w:ilvl="0" w:tentative="0">
      <w:start w:val="1"/>
      <w:numFmt w:val="chineseCounting"/>
      <w:suff w:val="nothing"/>
      <w:lvlText w:val="%1、"/>
      <w:lvlJc w:val="left"/>
      <w:rPr>
        <w:rFonts w:hint="eastAsia"/>
      </w:rPr>
    </w:lvl>
  </w:abstractNum>
  <w:abstractNum w:abstractNumId="1">
    <w:nsid w:val="491E4899"/>
    <w:multiLevelType w:val="multilevel"/>
    <w:tmpl w:val="491E4899"/>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674CD6"/>
    <w:rsid w:val="19024013"/>
    <w:rsid w:val="308E71B9"/>
    <w:rsid w:val="32674CD6"/>
    <w:rsid w:val="3DC65BE7"/>
    <w:rsid w:val="41FD6251"/>
    <w:rsid w:val="4D4E731F"/>
    <w:rsid w:val="7EA037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qFormat/>
    <w:uiPriority w:val="0"/>
    <w:pPr>
      <w:keepNext w:val="0"/>
      <w:keepLines w:val="0"/>
      <w:widowControl w:val="0"/>
      <w:suppressLineNumbers w:val="0"/>
      <w:spacing w:before="0" w:beforeAutospacing="0" w:after="0" w:afterAutospacing="0" w:line="360" w:lineRule="auto"/>
      <w:ind w:left="0" w:right="0" w:firstLine="480" w:firstLineChars="200"/>
      <w:jc w:val="both"/>
    </w:pPr>
    <w:rPr>
      <w:rFonts w:hint="eastAsia" w:ascii="仿宋_GB2312" w:hAnsi="Calibri" w:eastAsia="宋体" w:cs="Times New Roman"/>
      <w:kern w:val="2"/>
      <w:sz w:val="24"/>
      <w:szCs w:val="24"/>
      <w:lang w:val="en-US" w:eastAsia="zh-CN" w:bidi="ar"/>
    </w:rPr>
  </w:style>
  <w:style w:type="paragraph" w:styleId="3">
    <w:name w:val="toc 2"/>
    <w:basedOn w:val="1"/>
    <w:next w:val="1"/>
    <w:unhideWhenUsed/>
    <w:qFormat/>
    <w:uiPriority w:val="39"/>
    <w:pPr>
      <w:tabs>
        <w:tab w:val="right" w:leader="dot" w:pos="8302"/>
      </w:tabs>
      <w:spacing w:line="360" w:lineRule="auto"/>
      <w:ind w:left="420" w:leftChars="200"/>
    </w:pPr>
  </w:style>
  <w:style w:type="paragraph" w:styleId="4">
    <w:name w:val="Title"/>
    <w:basedOn w:val="3"/>
    <w:next w:val="1"/>
    <w:qFormat/>
    <w:uiPriority w:val="0"/>
    <w:pPr>
      <w:spacing w:before="240" w:beforeLines="0" w:beforeAutospacing="0" w:after="60" w:afterLines="0" w:afterAutospacing="0"/>
      <w:jc w:val="center"/>
      <w:outlineLvl w:val="0"/>
    </w:pPr>
    <w:rPr>
      <w:rFonts w:ascii="Arial" w:hAnsi="Arial"/>
      <w:b/>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3237</Words>
  <Characters>4024</Characters>
  <Lines>0</Lines>
  <Paragraphs>0</Paragraphs>
  <TotalTime>9</TotalTime>
  <ScaleCrop>false</ScaleCrop>
  <LinksUpToDate>false</LinksUpToDate>
  <CharactersWithSpaces>4159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2026-09-16T04:33:00Z</dcterms:created>
  <dc:creator>CSLC</dc:creator>
  <cp:lastModifiedBy>佟研</cp:lastModifiedBy>
  <dcterms:modified xsi:type="dcterms:W3CDTF">2026-09-17T08:50:43Z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7C9F2CF7C162494F9E687244D8FEF2BD_11</vt:lpwstr>
  </property>
  <property fmtid="{D5CDD505-2E9C-101B-9397-08002B2CF9AE}" pid="4" name="KSOTemplateDocerSaveRecord">
    <vt:lpwstr>eyJoZGlkIjoiM2RjYTI0OWE0NDIwZDliZmFkOTRhNmVlMjZkNTM2NzgiLCJ1c2VySWQiOiIxNjU5OTM2NDI0In0=</vt:lpwstr>
  </property>
</Properties>
</file>