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45C6F2">
      <w:pPr>
        <w:spacing w:before="85" w:line="237" w:lineRule="auto"/>
        <w:ind w:left="74"/>
        <w:jc w:val="center"/>
        <w:rPr>
          <w:rFonts w:ascii="方正小标宋_GBK" w:hAnsi="方正小标宋_GBK" w:eastAsia="方正小标宋_GBK" w:cs="方正小标宋_GBK"/>
          <w:spacing w:val="8"/>
          <w:sz w:val="43"/>
          <w:szCs w:val="43"/>
          <w:lang w:eastAsia="zh-CN"/>
        </w:rPr>
      </w:pPr>
      <w:bookmarkStart w:id="0" w:name="_GoBack"/>
      <w:bookmarkEnd w:id="0"/>
      <w:r>
        <w:rPr>
          <w:rFonts w:ascii="方正小标宋_GBK" w:hAnsi="方正小标宋_GBK" w:eastAsia="方正小标宋_GBK" w:cs="方正小标宋_GBK"/>
          <w:spacing w:val="8"/>
          <w:sz w:val="43"/>
          <w:szCs w:val="43"/>
          <w:lang w:eastAsia="zh-CN"/>
        </w:rPr>
        <w:t>202</w:t>
      </w:r>
      <w:r>
        <w:rPr>
          <w:rFonts w:hint="eastAsia" w:ascii="方正小标宋_GBK" w:hAnsi="方正小标宋_GBK" w:eastAsia="方正小标宋_GBK" w:cs="方正小标宋_GBK"/>
          <w:spacing w:val="8"/>
          <w:sz w:val="43"/>
          <w:szCs w:val="43"/>
          <w:lang w:eastAsia="zh-CN"/>
        </w:rPr>
        <w:t>6</w:t>
      </w:r>
      <w:r>
        <w:rPr>
          <w:rFonts w:ascii="方正小标宋_GBK" w:hAnsi="方正小标宋_GBK" w:eastAsia="方正小标宋_GBK" w:cs="方正小标宋_GBK"/>
          <w:spacing w:val="8"/>
          <w:sz w:val="43"/>
          <w:szCs w:val="43"/>
          <w:lang w:eastAsia="zh-CN"/>
        </w:rPr>
        <w:t>年自然资源科技进步奖推荐成果</w:t>
      </w:r>
    </w:p>
    <w:p w14:paraId="16198055">
      <w:pPr>
        <w:spacing w:before="85" w:line="237" w:lineRule="auto"/>
        <w:ind w:left="74"/>
        <w:jc w:val="center"/>
        <w:rPr>
          <w:rFonts w:ascii="方正小标宋_GBK" w:hAnsi="方正小标宋_GBK" w:eastAsia="方正小标宋_GBK" w:cs="方正小标宋_GBK"/>
          <w:sz w:val="43"/>
          <w:szCs w:val="43"/>
          <w:lang w:eastAsia="zh-CN"/>
        </w:rPr>
      </w:pPr>
      <w:r>
        <w:rPr>
          <w:rFonts w:ascii="方正小标宋_GBK" w:hAnsi="方正小标宋_GBK" w:eastAsia="方正小标宋_GBK" w:cs="方正小标宋_GBK"/>
          <w:spacing w:val="8"/>
          <w:sz w:val="43"/>
          <w:szCs w:val="43"/>
          <w:lang w:eastAsia="zh-CN"/>
        </w:rPr>
        <w:t>公示内容</w:t>
      </w:r>
    </w:p>
    <w:p w14:paraId="1435782A">
      <w:pPr>
        <w:spacing w:line="381" w:lineRule="auto"/>
        <w:rPr>
          <w:lang w:eastAsia="zh-CN"/>
        </w:rPr>
      </w:pPr>
    </w:p>
    <w:p w14:paraId="25CBD423">
      <w:pPr>
        <w:spacing w:before="99" w:line="233" w:lineRule="auto"/>
        <w:ind w:left="564"/>
        <w:rPr>
          <w:rFonts w:ascii="方正黑体_GBK" w:hAnsi="方正黑体_GBK" w:eastAsia="方正黑体_GBK" w:cs="方正黑体_GBK"/>
          <w:sz w:val="28"/>
          <w:szCs w:val="28"/>
          <w:lang w:eastAsia="zh-CN"/>
        </w:rPr>
      </w:pPr>
      <w:r>
        <w:rPr>
          <w:rFonts w:ascii="方正黑体_GBK" w:hAnsi="方正黑体_GBK" w:eastAsia="方正黑体_GBK" w:cs="方正黑体_GBK"/>
          <w:spacing w:val="-2"/>
          <w:sz w:val="28"/>
          <w:szCs w:val="28"/>
          <w:lang w:eastAsia="zh-CN"/>
        </w:rPr>
        <w:t>一、成果基本情况</w:t>
      </w:r>
    </w:p>
    <w:p w14:paraId="75A90CA8">
      <w:pPr>
        <w:pStyle w:val="2"/>
        <w:spacing w:before="130" w:line="299" w:lineRule="auto"/>
        <w:ind w:left="10" w:right="108" w:firstLine="558"/>
        <w:rPr>
          <w:sz w:val="28"/>
          <w:szCs w:val="28"/>
          <w:lang w:eastAsia="zh-CN"/>
        </w:rPr>
      </w:pPr>
      <w:r>
        <w:rPr>
          <w:spacing w:val="3"/>
          <w:sz w:val="28"/>
          <w:szCs w:val="28"/>
          <w:lang w:eastAsia="zh-CN"/>
        </w:rPr>
        <w:t>成果名称：</w:t>
      </w:r>
      <w:r>
        <w:rPr>
          <w:rFonts w:hint="eastAsia"/>
          <w:spacing w:val="3"/>
          <w:sz w:val="28"/>
          <w:szCs w:val="28"/>
          <w:lang w:eastAsia="zh-CN"/>
        </w:rPr>
        <w:t>川渝山地页岩气绿色勘探关键技术创新与科学传播</w:t>
      </w:r>
    </w:p>
    <w:p w14:paraId="715778E6">
      <w:pPr>
        <w:pStyle w:val="2"/>
        <w:spacing w:before="17" w:line="298" w:lineRule="auto"/>
        <w:ind w:left="10" w:right="108" w:firstLine="564"/>
        <w:rPr>
          <w:sz w:val="28"/>
          <w:szCs w:val="28"/>
          <w:lang w:eastAsia="zh-CN"/>
        </w:rPr>
      </w:pPr>
      <w:r>
        <w:rPr>
          <w:spacing w:val="3"/>
          <w:sz w:val="28"/>
          <w:szCs w:val="28"/>
          <w:lang w:eastAsia="zh-CN"/>
        </w:rPr>
        <w:t>主要完成人：</w:t>
      </w:r>
      <w:r>
        <w:rPr>
          <w:rFonts w:hint="eastAsia"/>
          <w:spacing w:val="3"/>
          <w:sz w:val="28"/>
          <w:szCs w:val="28"/>
          <w:lang w:eastAsia="zh-CN"/>
        </w:rPr>
        <w:t xml:space="preserve"> 王锦喜、罗情勇、张志平、张代磊、黄午阳、郭艳波、曾春林、吴晓川、潘树彪、刘茂瑶</w:t>
      </w:r>
    </w:p>
    <w:p w14:paraId="43C5F0BD">
      <w:pPr>
        <w:pStyle w:val="2"/>
        <w:spacing w:before="24" w:line="301" w:lineRule="auto"/>
        <w:ind w:left="35" w:right="105" w:firstLine="540"/>
        <w:rPr>
          <w:sz w:val="28"/>
          <w:szCs w:val="28"/>
          <w:lang w:eastAsia="zh-CN"/>
        </w:rPr>
      </w:pPr>
      <w:r>
        <w:rPr>
          <w:spacing w:val="2"/>
          <w:sz w:val="28"/>
          <w:szCs w:val="28"/>
          <w:lang w:eastAsia="zh-CN"/>
        </w:rPr>
        <w:t>主要完成单位：</w:t>
      </w:r>
      <w:r>
        <w:rPr>
          <w:rFonts w:hint="eastAsia"/>
          <w:spacing w:val="2"/>
          <w:sz w:val="28"/>
          <w:szCs w:val="28"/>
          <w:lang w:eastAsia="zh-CN"/>
        </w:rPr>
        <w:t>重庆地质矿产研究院、中国地质科学院、中国石油大学（北京）、中石化重庆涪陵页岩气勘探开发有限公司、中石油西南油气田重庆气矿</w:t>
      </w:r>
    </w:p>
    <w:p w14:paraId="1BB14CC4">
      <w:pPr>
        <w:pStyle w:val="2"/>
        <w:spacing w:before="20" w:line="288" w:lineRule="auto"/>
        <w:ind w:left="15" w:right="102" w:firstLine="539"/>
        <w:rPr>
          <w:spacing w:val="-10"/>
          <w:sz w:val="28"/>
          <w:szCs w:val="28"/>
          <w:lang w:eastAsia="zh-CN"/>
        </w:rPr>
      </w:pPr>
      <w:r>
        <w:rPr>
          <w:spacing w:val="-10"/>
          <w:sz w:val="28"/>
          <w:szCs w:val="28"/>
          <w:lang w:eastAsia="zh-CN"/>
        </w:rPr>
        <w:t>任务来源：</w:t>
      </w:r>
      <w:r>
        <w:rPr>
          <w:spacing w:val="-24"/>
          <w:sz w:val="28"/>
          <w:szCs w:val="28"/>
          <w:lang w:eastAsia="zh-CN"/>
        </w:rPr>
        <w:t xml:space="preserve"> </w:t>
      </w:r>
      <w:r>
        <w:rPr>
          <w:rFonts w:hint="eastAsia"/>
          <w:spacing w:val="-10"/>
          <w:sz w:val="28"/>
          <w:szCs w:val="28"/>
          <w:lang w:eastAsia="zh-CN"/>
        </w:rPr>
        <w:t>A1 国家科技支撑计划，C 省、市、自治区计划，E 企业</w:t>
      </w:r>
    </w:p>
    <w:p w14:paraId="7BDAC754">
      <w:pPr>
        <w:pStyle w:val="2"/>
        <w:spacing w:before="57" w:line="234" w:lineRule="auto"/>
        <w:ind w:left="599"/>
        <w:rPr>
          <w:sz w:val="28"/>
          <w:szCs w:val="28"/>
          <w:lang w:eastAsia="zh-CN"/>
        </w:rPr>
      </w:pPr>
      <w:r>
        <w:rPr>
          <w:spacing w:val="-8"/>
          <w:sz w:val="28"/>
          <w:szCs w:val="28"/>
          <w:lang w:eastAsia="zh-CN"/>
        </w:rPr>
        <w:t>申报等级：</w:t>
      </w:r>
      <w:r>
        <w:rPr>
          <w:rFonts w:hint="eastAsia"/>
          <w:spacing w:val="-8"/>
          <w:sz w:val="28"/>
          <w:szCs w:val="28"/>
          <w:lang w:eastAsia="zh-CN"/>
        </w:rPr>
        <w:t>二</w:t>
      </w:r>
      <w:r>
        <w:rPr>
          <w:spacing w:val="-8"/>
          <w:sz w:val="28"/>
          <w:szCs w:val="28"/>
          <w:lang w:eastAsia="zh-CN"/>
        </w:rPr>
        <w:t>等奖</w:t>
      </w:r>
    </w:p>
    <w:p w14:paraId="311E0509">
      <w:pPr>
        <w:spacing w:before="118" w:line="234" w:lineRule="auto"/>
        <w:ind w:left="563"/>
        <w:rPr>
          <w:rFonts w:ascii="方正黑体_GBK" w:hAnsi="方正黑体_GBK" w:eastAsia="方正黑体_GBK" w:cs="方正黑体_GBK"/>
          <w:sz w:val="28"/>
          <w:szCs w:val="28"/>
          <w:lang w:eastAsia="zh-CN"/>
        </w:rPr>
      </w:pPr>
      <w:r>
        <w:rPr>
          <w:rFonts w:ascii="方正黑体_GBK" w:hAnsi="方正黑体_GBK" w:eastAsia="方正黑体_GBK" w:cs="方正黑体_GBK"/>
          <w:spacing w:val="-3"/>
          <w:sz w:val="28"/>
          <w:szCs w:val="28"/>
          <w:lang w:eastAsia="zh-CN"/>
        </w:rPr>
        <w:t>二、推荐意见</w:t>
      </w:r>
    </w:p>
    <w:p w14:paraId="3A911CAC">
      <w:pPr>
        <w:pStyle w:val="2"/>
        <w:spacing w:line="300" w:lineRule="auto"/>
        <w:ind w:left="283" w:leftChars="135" w:firstLine="569" w:firstLineChars="199"/>
        <w:jc w:val="both"/>
        <w:rPr>
          <w:spacing w:val="3"/>
          <w:sz w:val="28"/>
          <w:szCs w:val="28"/>
          <w:lang w:eastAsia="zh-CN"/>
        </w:rPr>
      </w:pPr>
      <w:r>
        <w:rPr>
          <w:rFonts w:hint="eastAsia"/>
          <w:spacing w:val="3"/>
          <w:sz w:val="28"/>
          <w:szCs w:val="28"/>
          <w:lang w:eastAsia="zh-CN"/>
        </w:rPr>
        <w:t>该成果面向国家能源安全、“双碳”战略重大需求，针对我国川渝山地地区页岩气地质高精细评价技术不足、山地勘探作业生态扰动风险高、页岩气地学科普范式单一等现实瓶颈，历经十余年产学研用联合攻关，构建了地质-工程勘探-环保-科普全链条绿色勘探创新体系。</w:t>
      </w:r>
    </w:p>
    <w:p w14:paraId="6C05D024">
      <w:pPr>
        <w:pStyle w:val="2"/>
        <w:spacing w:line="300" w:lineRule="auto"/>
        <w:ind w:left="283" w:leftChars="135" w:firstLine="569" w:firstLineChars="199"/>
        <w:jc w:val="both"/>
        <w:rPr>
          <w:spacing w:val="3"/>
          <w:sz w:val="28"/>
          <w:szCs w:val="28"/>
          <w:lang w:eastAsia="zh-CN"/>
        </w:rPr>
      </w:pPr>
      <w:r>
        <w:rPr>
          <w:rFonts w:hint="eastAsia"/>
          <w:spacing w:val="3"/>
          <w:sz w:val="28"/>
          <w:szCs w:val="28"/>
          <w:lang w:eastAsia="zh-CN"/>
        </w:rPr>
        <w:t>成果创新性突出：一是创新“四位一体”野外调查+实景三维建模技术，研究攻克古老海相笔石页岩有机质成熟度评价国际性难题，建立高硅质-高有机质耦合成藏理论与“五段21层”储层精细划分方案，建立了多因素耦合含气量预测模型，含气量预测准确率达98.2%；二是创新山地页岩气低扰动绿色勘探钻井成套技术，形成勘探井场绿色优选、浅层清水勘探钻井工艺，从源头降低勘探作业地表与地下水环境扰动；三是构建“监测-评估-调控”勘探作业全链地质环境安全保障体系，实现勘探作业碳排放降低40%；四是首创技术驱动型科普融合范式，构建四维矩阵科普体系，科普传播覆盖超100万人次。</w:t>
      </w:r>
    </w:p>
    <w:p w14:paraId="360EF73B">
      <w:pPr>
        <w:pStyle w:val="2"/>
        <w:spacing w:line="300" w:lineRule="auto"/>
        <w:ind w:left="283" w:leftChars="135" w:firstLine="569" w:firstLineChars="199"/>
        <w:jc w:val="both"/>
        <w:rPr>
          <w:spacing w:val="3"/>
          <w:sz w:val="28"/>
          <w:szCs w:val="28"/>
          <w:lang w:eastAsia="zh-CN"/>
        </w:rPr>
      </w:pPr>
      <w:r>
        <w:rPr>
          <w:rFonts w:hint="eastAsia"/>
          <w:spacing w:val="3"/>
          <w:sz w:val="28"/>
          <w:szCs w:val="28"/>
          <w:lang w:eastAsia="zh-CN"/>
        </w:rPr>
        <w:t>成果在涪陵、渝西、川南页岩气勘探区块推广应用，落实页岩气有利勘探区，新增探明地质储量超千亿方。实现地质技术原创、绿色勘探赋能、生态保护、科学传播多重价值统一，为自然资源领域能源绿色勘探与科普融合提供标杆示范。</w:t>
      </w:r>
    </w:p>
    <w:p w14:paraId="772F598A">
      <w:pPr>
        <w:pStyle w:val="2"/>
        <w:spacing w:line="300" w:lineRule="auto"/>
        <w:ind w:left="283" w:leftChars="135" w:firstLine="569" w:firstLineChars="199"/>
        <w:jc w:val="both"/>
        <w:rPr>
          <w:spacing w:val="3"/>
          <w:sz w:val="28"/>
          <w:szCs w:val="28"/>
          <w:lang w:eastAsia="zh-CN"/>
        </w:rPr>
      </w:pPr>
      <w:r>
        <w:rPr>
          <w:rFonts w:hint="eastAsia"/>
          <w:spacing w:val="3"/>
          <w:sz w:val="28"/>
          <w:szCs w:val="28"/>
          <w:lang w:eastAsia="zh-CN"/>
        </w:rPr>
        <w:t>推荐为自然资源科学技术奖科技进步奖二等奖。</w:t>
      </w:r>
    </w:p>
    <w:p w14:paraId="79977BC4">
      <w:pPr>
        <w:spacing w:before="133" w:line="233" w:lineRule="auto"/>
        <w:ind w:left="558"/>
        <w:rPr>
          <w:rFonts w:ascii="方正黑体_GBK" w:hAnsi="方正黑体_GBK" w:eastAsia="方正黑体_GBK" w:cs="方正黑体_GBK"/>
          <w:sz w:val="28"/>
          <w:szCs w:val="28"/>
          <w:lang w:eastAsia="zh-CN"/>
        </w:rPr>
      </w:pPr>
      <w:r>
        <w:rPr>
          <w:rFonts w:ascii="方正黑体_GBK" w:hAnsi="方正黑体_GBK" w:eastAsia="方正黑体_GBK" w:cs="方正黑体_GBK"/>
          <w:spacing w:val="-4"/>
          <w:sz w:val="28"/>
          <w:szCs w:val="28"/>
          <w:lang w:eastAsia="zh-CN"/>
        </w:rPr>
        <w:t>三、成果简介</w:t>
      </w:r>
    </w:p>
    <w:p w14:paraId="479C0999">
      <w:pPr>
        <w:pStyle w:val="2"/>
        <w:spacing w:before="11" w:line="300" w:lineRule="auto"/>
        <w:ind w:firstLine="573"/>
        <w:rPr>
          <w:spacing w:val="3"/>
          <w:sz w:val="28"/>
          <w:szCs w:val="28"/>
          <w:lang w:eastAsia="zh-CN"/>
        </w:rPr>
      </w:pPr>
      <w:r>
        <w:rPr>
          <w:rFonts w:hint="eastAsia"/>
          <w:spacing w:val="3"/>
          <w:sz w:val="28"/>
          <w:szCs w:val="28"/>
          <w:lang w:eastAsia="zh-CN"/>
        </w:rPr>
        <w:t>页岩气作为清洁低碳战略接替资源，是保障国家能源安全、优化能源结构、落实“双碳”战略目标的核心支撑。南方地区页岩气资源潜力巨大，但长期面临地质高精细评价技术不足、地面-地下页岩气绿色勘探适配技术不完善、勘探作业生态环境风险突出、行业科普碎片化公众认知滞后四大现实瓶颈，照搬国外技术难以适配复杂地区地质-地表条件，制约了页岩气绿色勘探与科普传播高质量发展。</w:t>
      </w:r>
    </w:p>
    <w:p w14:paraId="482900A8">
      <w:pPr>
        <w:pStyle w:val="2"/>
        <w:spacing w:before="11" w:line="300" w:lineRule="auto"/>
        <w:ind w:firstLine="573"/>
        <w:rPr>
          <w:spacing w:val="3"/>
          <w:sz w:val="28"/>
          <w:szCs w:val="28"/>
          <w:lang w:eastAsia="zh-CN"/>
        </w:rPr>
      </w:pPr>
      <w:r>
        <w:rPr>
          <w:rFonts w:hint="eastAsia"/>
          <w:spacing w:val="3"/>
          <w:sz w:val="28"/>
          <w:szCs w:val="28"/>
          <w:lang w:eastAsia="zh-CN"/>
        </w:rPr>
        <w:t>本项目自2015年起，依托国家科技重大专项、重庆市重点产业专项、自然资源油气专项等多级科研项目，面向资源安全、生态保护、科学传播三重目标，以地面-地下全空间页岩气绿色勘探评价关键技术为基础，突出绿色勘探重点，落地页岩气科普传播为主线，产学研用多单位协同攻关，攻克川渝地区页岩气“全空间高精细地质评价-绿色勘探钻井-页岩气地质环境安全-科普传播转化”全链关键技术；形成了笔石有机质热演化系列原创理论，揭示了古老海相页岩烃源岩热演化评价机理，破解了五峰组-龙马溪组笔石页岩成熟度评价国际性技术难题，构建形成“地质-工程勘探-环保-科普”一体化创新技术体系，实现技术原创、资源勘探赋能、生态保护、科普传播多重价值统一。</w:t>
      </w:r>
    </w:p>
    <w:p w14:paraId="680B1135">
      <w:pPr>
        <w:pStyle w:val="2"/>
        <w:spacing w:before="11" w:line="300" w:lineRule="auto"/>
        <w:ind w:firstLine="573"/>
        <w:rPr>
          <w:spacing w:val="3"/>
          <w:sz w:val="28"/>
          <w:szCs w:val="28"/>
          <w:lang w:eastAsia="zh-CN"/>
        </w:rPr>
      </w:pPr>
      <w:r>
        <w:rPr>
          <w:rFonts w:hint="eastAsia"/>
          <w:spacing w:val="3"/>
          <w:sz w:val="28"/>
          <w:szCs w:val="28"/>
          <w:lang w:eastAsia="zh-CN"/>
        </w:rPr>
        <w:t>在地质勘探评价领域，创新形成了“四位一体”野外调查+实景三维建模技术，构建了地面-地下全空间页岩气地质调查评价体系；依托笔石反射率有机质热演化研究成果，破解了高演化海相页岩气成熟度评价技术难题，建立了高硅质-高有机质耦合成藏理论，创建了“五段21层”储层精细划分方案；建立了多因素耦合含气量预测模型，含气量预测准确率达98.2%，为勘探井位优选、高效页岩气地质勘探提供理论与技术支撑。</w:t>
      </w:r>
    </w:p>
    <w:p w14:paraId="0BA018D7">
      <w:pPr>
        <w:pStyle w:val="2"/>
        <w:spacing w:before="11" w:line="300" w:lineRule="auto"/>
        <w:ind w:firstLine="573"/>
        <w:rPr>
          <w:spacing w:val="3"/>
          <w:sz w:val="28"/>
          <w:szCs w:val="28"/>
          <w:lang w:eastAsia="zh-CN"/>
        </w:rPr>
      </w:pPr>
      <w:r>
        <w:rPr>
          <w:rFonts w:hint="eastAsia"/>
          <w:spacing w:val="3"/>
          <w:sz w:val="28"/>
          <w:szCs w:val="28"/>
          <w:lang w:eastAsia="zh-CN"/>
        </w:rPr>
        <w:t>针对川渝山地地形破碎、岩溶裂隙广泛发育，传统页岩气勘探钻井井漏事故频发，地表开挖、钻井流体易造成地表与地下水污染，临时占地扰动范围大的现实难点；采用高密度电法水文超前探测、多套钻井工艺对比遴选、地质-钻井动态迭代分析的方式；形成勘探井场绿色优选、浅层清水绿色勘探钻井、地质-工程一体化勘探闭环成套方法；解决岩溶山地勘探井位水文风险预判不足、水土环境防控薄弱、地质认识和钻井作业信息脱节的技术瓶颈；经现场多口预探井、参数井示范应用，勘探井井漏风险下降72%，勘查作业临时扰动占地缩减42%，实现预探井、参数井低扰动安全勘查，为山地页岩气绿色勘探提供工程技术支撑，同时输出勘探工程科普实践案例。</w:t>
      </w:r>
    </w:p>
    <w:p w14:paraId="17E5A9E1">
      <w:pPr>
        <w:pStyle w:val="2"/>
        <w:spacing w:before="11" w:line="300" w:lineRule="auto"/>
        <w:ind w:firstLine="573"/>
        <w:rPr>
          <w:spacing w:val="3"/>
          <w:sz w:val="28"/>
          <w:szCs w:val="28"/>
          <w:lang w:eastAsia="zh-CN"/>
        </w:rPr>
      </w:pPr>
      <w:r>
        <w:rPr>
          <w:rFonts w:hint="eastAsia"/>
          <w:spacing w:val="3"/>
          <w:sz w:val="28"/>
          <w:szCs w:val="28"/>
          <w:lang w:eastAsia="zh-CN"/>
        </w:rPr>
        <w:t>在生态绿色管控层面，构建适配地面-地下全空间勘探场景的“监测-评估-调控”全链勘探作业地质环境安全保障体系；首创5G全时域移动页岩气开发地质稳定性监测专用台网，自主研发了地下水多参数光谱实时监测装备，搭建了页岩气勘探区地质环境动态预警平台，有效防控页岩气勘探地质稳定性、地下水环境风险，筑牢了页岩气绿色勘探生态屏障。</w:t>
      </w:r>
    </w:p>
    <w:p w14:paraId="60B2D1F0">
      <w:pPr>
        <w:pStyle w:val="2"/>
        <w:spacing w:before="11" w:line="300" w:lineRule="auto"/>
        <w:ind w:firstLine="573"/>
        <w:rPr>
          <w:spacing w:val="3"/>
          <w:sz w:val="28"/>
          <w:szCs w:val="28"/>
          <w:lang w:eastAsia="zh-CN"/>
        </w:rPr>
      </w:pPr>
      <w:r>
        <w:rPr>
          <w:rFonts w:hint="eastAsia"/>
          <w:spacing w:val="3"/>
          <w:sz w:val="28"/>
          <w:szCs w:val="28"/>
          <w:lang w:eastAsia="zh-CN"/>
        </w:rPr>
        <w:t>在科普落地转化层面，依托项目形成的全套地质精细评价、绿色工程勘探、地质环境安全硬核技术成果，首创技术驱动型科普融合范式，构建了“实体+数字+体验+品牌”四维科普矩阵。建成了全国首条海相、陆相页岩气典型剖面、国家级科普展厅，开发研学路线、科普读物、科普微课等多元科普载体；打造了科普品牌，形成了可复制的能源地学科普模式，累计科普传播覆盖超100万人次，赋能地方文旅增收3000余万元，实现科技创新成果向公众科学素养提升的高效传播转化。</w:t>
      </w:r>
    </w:p>
    <w:p w14:paraId="472CBCAD">
      <w:pPr>
        <w:pStyle w:val="2"/>
        <w:spacing w:before="11" w:line="300" w:lineRule="auto"/>
        <w:ind w:firstLine="573"/>
        <w:rPr>
          <w:spacing w:val="3"/>
          <w:sz w:val="28"/>
          <w:szCs w:val="28"/>
          <w:lang w:eastAsia="zh-CN"/>
        </w:rPr>
      </w:pPr>
      <w:r>
        <w:rPr>
          <w:rFonts w:hint="eastAsia"/>
          <w:spacing w:val="3"/>
          <w:sz w:val="28"/>
          <w:szCs w:val="28"/>
          <w:lang w:eastAsia="zh-CN"/>
        </w:rPr>
        <w:t>技术成果在涪陵、渝西、川南等页岩气勘探区块规模化推广应用，支撑页岩气资源勘查精细评价，落实了页岩气有利勘探区，新增探明地质储量超千亿方。同时支撑获批国家能源基地、国家自然资源科普基地，为自然资源领域能源绿色勘探技术创新与科学传播深度融合提供标杆示范。</w:t>
      </w:r>
    </w:p>
    <w:p w14:paraId="756F471C">
      <w:pPr>
        <w:spacing w:before="13" w:line="234" w:lineRule="auto"/>
        <w:ind w:firstLine="420"/>
        <w:rPr>
          <w:rFonts w:ascii="方正黑体_GBK" w:hAnsi="方正黑体_GBK" w:eastAsia="方正黑体_GBK" w:cs="方正黑体_GBK"/>
          <w:sz w:val="28"/>
          <w:szCs w:val="28"/>
          <w:lang w:eastAsia="zh-CN"/>
        </w:rPr>
      </w:pPr>
      <w:r>
        <w:rPr>
          <w:rFonts w:ascii="方正黑体_GBK" w:hAnsi="方正黑体_GBK" w:eastAsia="方正黑体_GBK" w:cs="方正黑体_GBK"/>
          <w:spacing w:val="-12"/>
          <w:sz w:val="28"/>
          <w:szCs w:val="28"/>
          <w:lang w:eastAsia="zh-CN"/>
        </w:rPr>
        <w:t>四、客观评价</w:t>
      </w:r>
    </w:p>
    <w:p w14:paraId="7C91F640">
      <w:pPr>
        <w:pStyle w:val="2"/>
        <w:spacing w:before="146" w:line="303" w:lineRule="auto"/>
        <w:ind w:right="19" w:firstLine="543"/>
        <w:rPr>
          <w:spacing w:val="1"/>
          <w:sz w:val="28"/>
          <w:szCs w:val="28"/>
          <w:lang w:eastAsia="zh-CN"/>
        </w:rPr>
      </w:pPr>
      <w:r>
        <w:rPr>
          <w:rFonts w:hint="eastAsia"/>
          <w:spacing w:val="1"/>
          <w:sz w:val="28"/>
          <w:szCs w:val="28"/>
          <w:lang w:eastAsia="zh-CN"/>
        </w:rPr>
        <w:t>1. 专家评价意见</w:t>
      </w:r>
    </w:p>
    <w:p w14:paraId="06A0FEBF">
      <w:pPr>
        <w:pStyle w:val="2"/>
        <w:spacing w:line="300" w:lineRule="auto"/>
        <w:ind w:right="17" w:firstLine="544"/>
        <w:rPr>
          <w:spacing w:val="1"/>
          <w:sz w:val="28"/>
          <w:szCs w:val="28"/>
          <w:lang w:eastAsia="zh-CN"/>
        </w:rPr>
      </w:pPr>
      <w:r>
        <w:rPr>
          <w:rFonts w:hint="eastAsia"/>
          <w:spacing w:val="1"/>
          <w:sz w:val="28"/>
          <w:szCs w:val="28"/>
          <w:lang w:eastAsia="zh-CN"/>
        </w:rPr>
        <w:t>中国科学院邹才能院士认为：该成果面向我国国家能源安全与“双碳”战略重大需求，针对川渝山地页岩气地质条件复杂、古老海相页岩有机质成熟度评价存在国际性技术难题、山地页岩气勘探生态扰动风险突出、页岩气领域科研成果科普转化路径缺失等行业痛点，项目团队历经十余年产学研用联合攻关，形成了地质精细评价-绿色工程勘探-地质安全环保</w:t>
      </w:r>
      <w:r>
        <w:rPr>
          <w:rFonts w:hint="eastAsia"/>
          <w:spacing w:val="1"/>
          <w:sz w:val="28"/>
          <w:szCs w:val="28"/>
          <w:lang w:eastAsia="zh-CN"/>
        </w:rPr>
        <w:noBreakHyphen/>
      </w:r>
      <w:r>
        <w:rPr>
          <w:rFonts w:hint="eastAsia"/>
          <w:spacing w:val="1"/>
          <w:sz w:val="28"/>
          <w:szCs w:val="28"/>
          <w:lang w:eastAsia="zh-CN"/>
        </w:rPr>
        <w:t>科普范式传播一体化的页岩气绿色勘探成套技术体系。成果整体达到国际先进水平，部分理论与技术达到国际领先，对我国山地页岩气绿色勘查行业进步及页岩气科普传播具有重要推动作用。</w:t>
      </w:r>
    </w:p>
    <w:p w14:paraId="6959A4D9">
      <w:pPr>
        <w:pStyle w:val="2"/>
        <w:spacing w:before="146" w:line="303" w:lineRule="auto"/>
        <w:ind w:right="19" w:firstLine="543"/>
        <w:rPr>
          <w:spacing w:val="1"/>
          <w:sz w:val="28"/>
          <w:szCs w:val="28"/>
          <w:lang w:eastAsia="zh-CN"/>
        </w:rPr>
      </w:pPr>
      <w:r>
        <w:rPr>
          <w:rFonts w:hint="eastAsia"/>
          <w:spacing w:val="1"/>
          <w:sz w:val="28"/>
          <w:szCs w:val="28"/>
          <w:lang w:eastAsia="zh-CN"/>
        </w:rPr>
        <w:t>2. 科技部西南信息查新中心科技查新评价</w:t>
      </w:r>
    </w:p>
    <w:p w14:paraId="2F161344">
      <w:pPr>
        <w:pStyle w:val="2"/>
        <w:spacing w:before="122" w:line="289" w:lineRule="auto"/>
        <w:ind w:left="10" w:firstLine="514"/>
        <w:rPr>
          <w:spacing w:val="-7"/>
          <w:sz w:val="28"/>
          <w:szCs w:val="28"/>
          <w:lang w:eastAsia="zh-CN"/>
        </w:rPr>
      </w:pPr>
      <w:r>
        <w:rPr>
          <w:rFonts w:hint="eastAsia"/>
          <w:spacing w:val="-7"/>
          <w:sz w:val="28"/>
          <w:szCs w:val="28"/>
          <w:lang w:eastAsia="zh-CN"/>
        </w:rPr>
        <w:t>根据科学技术部西南信息中心查新中心出具的成果查新报告结论：针对查新研究成果的技术要点和查新点，涉及综合本项目所述技术特点的“川渝山地页岩气绿色勘探关键技术创新与科学传播”，在所检文献以及时限范围内，国内外未见相同文献报道。</w:t>
      </w:r>
    </w:p>
    <w:p w14:paraId="7FB5CE52">
      <w:pPr>
        <w:spacing w:before="43" w:line="360" w:lineRule="auto"/>
        <w:ind w:left="686"/>
        <w:rPr>
          <w:rFonts w:ascii="方正黑体_GBK" w:hAnsi="方正黑体_GBK" w:eastAsia="方正黑体_GBK" w:cs="方正黑体_GBK"/>
          <w:spacing w:val="-2"/>
          <w:sz w:val="28"/>
          <w:szCs w:val="28"/>
          <w:lang w:eastAsia="zh-CN"/>
        </w:rPr>
      </w:pPr>
    </w:p>
    <w:p w14:paraId="7451AFDB">
      <w:pPr>
        <w:spacing w:before="43" w:line="234" w:lineRule="auto"/>
        <w:ind w:left="686"/>
        <w:rPr>
          <w:rFonts w:ascii="方正黑体_GBK" w:hAnsi="方正黑体_GBK" w:eastAsia="方正黑体_GBK" w:cs="方正黑体_GBK"/>
          <w:sz w:val="28"/>
          <w:szCs w:val="28"/>
          <w:lang w:eastAsia="zh-CN"/>
        </w:rPr>
      </w:pPr>
      <w:r>
        <w:rPr>
          <w:rFonts w:ascii="方正黑体_GBK" w:hAnsi="方正黑体_GBK" w:eastAsia="方正黑体_GBK" w:cs="方正黑体_GBK"/>
          <w:spacing w:val="-2"/>
          <w:sz w:val="28"/>
          <w:szCs w:val="28"/>
          <w:lang w:eastAsia="zh-CN"/>
        </w:rPr>
        <w:t>五、主要知识产权目录</w:t>
      </w:r>
    </w:p>
    <w:p w14:paraId="7CD4650F">
      <w:pPr>
        <w:spacing w:before="99"/>
        <w:rPr>
          <w:lang w:eastAsia="zh-CN"/>
        </w:rPr>
      </w:pPr>
    </w:p>
    <w:tbl>
      <w:tblPr>
        <w:tblStyle w:val="7"/>
        <w:tblW w:w="936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57" w:type="dxa"/>
        </w:tblCellMar>
      </w:tblPr>
      <w:tblGrid>
        <w:gridCol w:w="712"/>
        <w:gridCol w:w="3312"/>
        <w:gridCol w:w="1560"/>
        <w:gridCol w:w="790"/>
        <w:gridCol w:w="2992"/>
      </w:tblGrid>
      <w:tr w14:paraId="6A64BA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649" w:hRule="atLeast"/>
        </w:trPr>
        <w:tc>
          <w:tcPr>
            <w:tcW w:w="712" w:type="dxa"/>
            <w:vAlign w:val="center"/>
          </w:tcPr>
          <w:p w14:paraId="7B35DE11">
            <w:pPr>
              <w:pStyle w:val="8"/>
              <w:jc w:val="center"/>
              <w:rPr>
                <w:rFonts w:ascii="Times New Roman" w:hAnsi="Times New Roman" w:cs="Times New Roman"/>
                <w:sz w:val="20"/>
                <w:szCs w:val="20"/>
              </w:rPr>
            </w:pPr>
            <w:r>
              <w:rPr>
                <w:rFonts w:ascii="Times New Roman" w:hAnsi="Times New Roman" w:cs="Times New Roman"/>
                <w:spacing w:val="2"/>
                <w:sz w:val="20"/>
                <w:szCs w:val="20"/>
              </w:rPr>
              <w:t>序号</w:t>
            </w:r>
          </w:p>
        </w:tc>
        <w:tc>
          <w:tcPr>
            <w:tcW w:w="3312" w:type="dxa"/>
            <w:vAlign w:val="center"/>
          </w:tcPr>
          <w:p w14:paraId="5C95287C">
            <w:pPr>
              <w:pStyle w:val="8"/>
              <w:jc w:val="center"/>
              <w:rPr>
                <w:rFonts w:ascii="Times New Roman" w:hAnsi="Times New Roman" w:cs="Times New Roman"/>
                <w:sz w:val="20"/>
                <w:szCs w:val="20"/>
              </w:rPr>
            </w:pPr>
            <w:r>
              <w:rPr>
                <w:rFonts w:ascii="Times New Roman" w:hAnsi="Times New Roman" w:cs="Times New Roman"/>
                <w:spacing w:val="3"/>
                <w:sz w:val="20"/>
                <w:szCs w:val="20"/>
              </w:rPr>
              <w:t>已授权成果名称</w:t>
            </w:r>
          </w:p>
        </w:tc>
        <w:tc>
          <w:tcPr>
            <w:tcW w:w="1560" w:type="dxa"/>
            <w:vAlign w:val="center"/>
          </w:tcPr>
          <w:p w14:paraId="613F160E">
            <w:pPr>
              <w:pStyle w:val="8"/>
              <w:jc w:val="center"/>
              <w:rPr>
                <w:rFonts w:ascii="Times New Roman" w:hAnsi="Times New Roman" w:cs="Times New Roman"/>
                <w:sz w:val="20"/>
                <w:szCs w:val="20"/>
              </w:rPr>
            </w:pPr>
            <w:r>
              <w:rPr>
                <w:rFonts w:ascii="Times New Roman" w:hAnsi="Times New Roman" w:cs="Times New Roman"/>
                <w:spacing w:val="5"/>
                <w:sz w:val="20"/>
                <w:szCs w:val="20"/>
              </w:rPr>
              <w:t>知识产权</w:t>
            </w:r>
            <w:r>
              <w:rPr>
                <w:rFonts w:ascii="Times New Roman" w:hAnsi="Times New Roman" w:cs="Times New Roman"/>
                <w:spacing w:val="-1"/>
                <w:sz w:val="20"/>
                <w:szCs w:val="20"/>
              </w:rPr>
              <w:t>类别</w:t>
            </w:r>
          </w:p>
        </w:tc>
        <w:tc>
          <w:tcPr>
            <w:tcW w:w="790" w:type="dxa"/>
            <w:vAlign w:val="center"/>
          </w:tcPr>
          <w:p w14:paraId="4C3DFE56">
            <w:pPr>
              <w:pStyle w:val="8"/>
              <w:jc w:val="center"/>
              <w:rPr>
                <w:rFonts w:ascii="Times New Roman" w:hAnsi="Times New Roman" w:cs="Times New Roman"/>
                <w:sz w:val="20"/>
                <w:szCs w:val="20"/>
              </w:rPr>
            </w:pPr>
            <w:r>
              <w:rPr>
                <w:rFonts w:ascii="Times New Roman" w:hAnsi="Times New Roman" w:cs="Times New Roman"/>
                <w:spacing w:val="-14"/>
                <w:position w:val="2"/>
                <w:sz w:val="20"/>
                <w:szCs w:val="20"/>
              </w:rPr>
              <w:t>国（区）别</w:t>
            </w:r>
          </w:p>
        </w:tc>
        <w:tc>
          <w:tcPr>
            <w:tcW w:w="2992" w:type="dxa"/>
            <w:vAlign w:val="center"/>
          </w:tcPr>
          <w:p w14:paraId="01530EA0">
            <w:pPr>
              <w:pStyle w:val="8"/>
              <w:jc w:val="center"/>
              <w:rPr>
                <w:rFonts w:ascii="Times New Roman" w:hAnsi="Times New Roman" w:cs="Times New Roman"/>
                <w:sz w:val="20"/>
                <w:szCs w:val="20"/>
              </w:rPr>
            </w:pPr>
            <w:r>
              <w:rPr>
                <w:rFonts w:ascii="Times New Roman" w:hAnsi="Times New Roman" w:cs="Times New Roman"/>
                <w:spacing w:val="8"/>
                <w:position w:val="2"/>
                <w:sz w:val="20"/>
                <w:szCs w:val="20"/>
              </w:rPr>
              <w:t>授权号</w:t>
            </w:r>
            <w:r>
              <w:rPr>
                <w:rFonts w:ascii="Times New Roman" w:hAnsi="Times New Roman" w:eastAsia="Times New Roman" w:cs="Times New Roman"/>
                <w:spacing w:val="8"/>
                <w:position w:val="2"/>
                <w:sz w:val="20"/>
                <w:szCs w:val="20"/>
              </w:rPr>
              <w:t>/</w:t>
            </w:r>
            <w:r>
              <w:rPr>
                <w:rFonts w:ascii="Times New Roman" w:hAnsi="Times New Roman" w:cs="Times New Roman"/>
                <w:spacing w:val="8"/>
                <w:position w:val="2"/>
                <w:sz w:val="20"/>
                <w:szCs w:val="20"/>
              </w:rPr>
              <w:t>公开出版时间</w:t>
            </w:r>
          </w:p>
        </w:tc>
      </w:tr>
      <w:tr w14:paraId="18C486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643" w:hRule="atLeast"/>
        </w:trPr>
        <w:tc>
          <w:tcPr>
            <w:tcW w:w="712" w:type="dxa"/>
          </w:tcPr>
          <w:p w14:paraId="354F2C87">
            <w:pPr>
              <w:jc w:val="center"/>
              <w:rPr>
                <w:rFonts w:ascii="Times New Roman" w:hAnsi="Times New Roman" w:eastAsia="微软雅黑" w:cs="Times New Roman"/>
              </w:rPr>
            </w:pPr>
            <w:r>
              <w:rPr>
                <w:rFonts w:ascii="Times New Roman" w:hAnsi="Times New Roman" w:eastAsia="微软雅黑" w:cs="Times New Roman"/>
              </w:rPr>
              <w:t>1</w:t>
            </w:r>
          </w:p>
        </w:tc>
        <w:tc>
          <w:tcPr>
            <w:tcW w:w="3312" w:type="dxa"/>
            <w:vAlign w:val="center"/>
          </w:tcPr>
          <w:p w14:paraId="396BFDB3">
            <w:pPr>
              <w:pStyle w:val="8"/>
              <w:jc w:val="center"/>
              <w:rPr>
                <w:rFonts w:ascii="Times New Roman" w:hAnsi="Times New Roman" w:eastAsia="微软雅黑" w:cs="Times New Roman"/>
                <w:sz w:val="21"/>
                <w:szCs w:val="21"/>
                <w:lang w:eastAsia="zh-CN"/>
              </w:rPr>
            </w:pPr>
            <w:r>
              <w:rPr>
                <w:rFonts w:ascii="Times New Roman" w:hAnsi="Times New Roman" w:eastAsia="微软雅黑" w:cs="Times New Roman"/>
                <w:sz w:val="21"/>
                <w:szCs w:val="21"/>
                <w:lang w:eastAsia="zh-CN"/>
              </w:rPr>
              <w:t>井场虚拟建设模型的生成方法、装置、设备及存储介质</w:t>
            </w:r>
          </w:p>
        </w:tc>
        <w:tc>
          <w:tcPr>
            <w:tcW w:w="1560" w:type="dxa"/>
          </w:tcPr>
          <w:p w14:paraId="7EF0A0E1">
            <w:pPr>
              <w:pStyle w:val="8"/>
              <w:jc w:val="center"/>
              <w:rPr>
                <w:rFonts w:ascii="Times New Roman" w:hAnsi="Times New Roman" w:eastAsia="微软雅黑" w:cs="Times New Roman"/>
                <w:sz w:val="21"/>
                <w:szCs w:val="21"/>
              </w:rPr>
            </w:pPr>
            <w:r>
              <w:rPr>
                <w:rFonts w:ascii="Times New Roman" w:hAnsi="Times New Roman" w:eastAsia="微软雅黑" w:cs="Times New Roman"/>
                <w:sz w:val="21"/>
                <w:szCs w:val="21"/>
                <w:lang w:eastAsia="zh-CN"/>
              </w:rPr>
              <w:t>发明专利</w:t>
            </w:r>
          </w:p>
        </w:tc>
        <w:tc>
          <w:tcPr>
            <w:tcW w:w="790" w:type="dxa"/>
          </w:tcPr>
          <w:p w14:paraId="7058C44F">
            <w:pPr>
              <w:pStyle w:val="8"/>
              <w:jc w:val="center"/>
              <w:rPr>
                <w:rFonts w:ascii="Times New Roman" w:hAnsi="Times New Roman" w:eastAsia="微软雅黑" w:cs="Times New Roman"/>
                <w:sz w:val="21"/>
                <w:szCs w:val="21"/>
              </w:rPr>
            </w:pPr>
            <w:r>
              <w:rPr>
                <w:rFonts w:ascii="Times New Roman" w:hAnsi="Times New Roman" w:eastAsia="微软雅黑" w:cs="Times New Roman"/>
                <w:sz w:val="21"/>
                <w:szCs w:val="21"/>
                <w:lang w:eastAsia="zh-CN"/>
              </w:rPr>
              <w:t>中国</w:t>
            </w:r>
          </w:p>
        </w:tc>
        <w:tc>
          <w:tcPr>
            <w:tcW w:w="2992" w:type="dxa"/>
            <w:vAlign w:val="center"/>
          </w:tcPr>
          <w:p w14:paraId="186FEC2F">
            <w:pPr>
              <w:jc w:val="center"/>
              <w:rPr>
                <w:rFonts w:ascii="Times New Roman" w:hAnsi="Times New Roman" w:eastAsia="微软雅黑" w:cs="Times New Roman"/>
                <w:lang w:eastAsia="zh-CN"/>
              </w:rPr>
            </w:pPr>
            <w:r>
              <w:rPr>
                <w:rFonts w:ascii="Times New Roman" w:hAnsi="Times New Roman" w:eastAsia="微软雅黑" w:cs="Times New Roman"/>
                <w:lang w:eastAsia="zh-CN"/>
              </w:rPr>
              <w:t>ZL202010306743.7</w:t>
            </w:r>
          </w:p>
        </w:tc>
      </w:tr>
      <w:tr w14:paraId="24F829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644" w:hRule="atLeast"/>
        </w:trPr>
        <w:tc>
          <w:tcPr>
            <w:tcW w:w="712" w:type="dxa"/>
          </w:tcPr>
          <w:p w14:paraId="466FEFF2">
            <w:pPr>
              <w:jc w:val="center"/>
              <w:rPr>
                <w:rFonts w:ascii="Times New Roman" w:hAnsi="Times New Roman" w:eastAsia="微软雅黑" w:cs="Times New Roman"/>
              </w:rPr>
            </w:pPr>
            <w:r>
              <w:rPr>
                <w:rFonts w:ascii="Times New Roman" w:hAnsi="Times New Roman" w:eastAsia="微软雅黑" w:cs="Times New Roman"/>
              </w:rPr>
              <w:t>2</w:t>
            </w:r>
          </w:p>
        </w:tc>
        <w:tc>
          <w:tcPr>
            <w:tcW w:w="3312" w:type="dxa"/>
            <w:vAlign w:val="center"/>
          </w:tcPr>
          <w:p w14:paraId="4F54E0DE">
            <w:pPr>
              <w:pStyle w:val="8"/>
              <w:jc w:val="center"/>
              <w:rPr>
                <w:rFonts w:ascii="Times New Roman" w:hAnsi="Times New Roman" w:eastAsia="微软雅黑" w:cs="Times New Roman"/>
                <w:sz w:val="21"/>
                <w:szCs w:val="21"/>
                <w:lang w:eastAsia="zh-CN"/>
              </w:rPr>
            </w:pPr>
            <w:r>
              <w:rPr>
                <w:rFonts w:ascii="Times New Roman" w:hAnsi="Times New Roman" w:eastAsia="微软雅黑" w:cs="Times New Roman"/>
                <w:sz w:val="21"/>
                <w:szCs w:val="21"/>
                <w:lang w:eastAsia="zh-CN"/>
              </w:rPr>
              <w:t>一种复杂构造区页岩含气量的多因素预测方法</w:t>
            </w:r>
          </w:p>
        </w:tc>
        <w:tc>
          <w:tcPr>
            <w:tcW w:w="1560" w:type="dxa"/>
          </w:tcPr>
          <w:p w14:paraId="06438935">
            <w:pPr>
              <w:pStyle w:val="8"/>
              <w:jc w:val="center"/>
              <w:rPr>
                <w:rFonts w:ascii="Times New Roman" w:hAnsi="Times New Roman" w:eastAsia="微软雅黑" w:cs="Times New Roman"/>
                <w:sz w:val="21"/>
                <w:szCs w:val="21"/>
              </w:rPr>
            </w:pPr>
            <w:r>
              <w:rPr>
                <w:rFonts w:ascii="Times New Roman" w:hAnsi="Times New Roman" w:eastAsia="微软雅黑" w:cs="Times New Roman"/>
                <w:sz w:val="21"/>
                <w:szCs w:val="21"/>
                <w:lang w:eastAsia="zh-CN"/>
              </w:rPr>
              <w:t>发明专利</w:t>
            </w:r>
          </w:p>
        </w:tc>
        <w:tc>
          <w:tcPr>
            <w:tcW w:w="790" w:type="dxa"/>
          </w:tcPr>
          <w:p w14:paraId="67F36096">
            <w:pPr>
              <w:pStyle w:val="8"/>
              <w:jc w:val="center"/>
              <w:rPr>
                <w:rFonts w:ascii="Times New Roman" w:hAnsi="Times New Roman" w:eastAsia="微软雅黑" w:cs="Times New Roman"/>
                <w:sz w:val="21"/>
                <w:szCs w:val="21"/>
              </w:rPr>
            </w:pPr>
            <w:r>
              <w:rPr>
                <w:rFonts w:ascii="Times New Roman" w:hAnsi="Times New Roman" w:eastAsia="微软雅黑" w:cs="Times New Roman"/>
                <w:sz w:val="21"/>
                <w:szCs w:val="21"/>
                <w:lang w:eastAsia="zh-CN"/>
              </w:rPr>
              <w:t>中国</w:t>
            </w:r>
          </w:p>
        </w:tc>
        <w:tc>
          <w:tcPr>
            <w:tcW w:w="2992" w:type="dxa"/>
            <w:vAlign w:val="center"/>
          </w:tcPr>
          <w:p w14:paraId="0A5D0C7E">
            <w:pPr>
              <w:jc w:val="center"/>
              <w:textAlignment w:val="center"/>
              <w:rPr>
                <w:rFonts w:ascii="Times New Roman" w:hAnsi="Times New Roman" w:eastAsia="微软雅黑" w:cs="Times New Roman"/>
                <w:lang w:eastAsia="zh-CN"/>
              </w:rPr>
            </w:pPr>
            <w:r>
              <w:rPr>
                <w:rFonts w:ascii="Times New Roman" w:hAnsi="Times New Roman" w:eastAsia="微软雅黑" w:cs="Times New Roman"/>
                <w:lang w:eastAsia="zh-CN"/>
              </w:rPr>
              <w:t>ZL20251 0985449.6</w:t>
            </w:r>
          </w:p>
          <w:p w14:paraId="7ECD4C61">
            <w:pPr>
              <w:jc w:val="center"/>
              <w:rPr>
                <w:rFonts w:ascii="Times New Roman" w:hAnsi="Times New Roman" w:eastAsia="微软雅黑" w:cs="Times New Roman"/>
              </w:rPr>
            </w:pPr>
          </w:p>
        </w:tc>
      </w:tr>
      <w:tr w14:paraId="4279CA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645" w:hRule="atLeast"/>
        </w:trPr>
        <w:tc>
          <w:tcPr>
            <w:tcW w:w="712" w:type="dxa"/>
          </w:tcPr>
          <w:p w14:paraId="5F4B2B97">
            <w:pPr>
              <w:jc w:val="center"/>
              <w:rPr>
                <w:rFonts w:ascii="Times New Roman" w:hAnsi="Times New Roman" w:eastAsia="微软雅黑" w:cs="Times New Roman"/>
              </w:rPr>
            </w:pPr>
            <w:r>
              <w:rPr>
                <w:rFonts w:ascii="Times New Roman" w:hAnsi="Times New Roman" w:eastAsia="微软雅黑" w:cs="Times New Roman"/>
                <w:lang w:eastAsia="zh-CN"/>
              </w:rPr>
              <w:t>3</w:t>
            </w:r>
          </w:p>
        </w:tc>
        <w:tc>
          <w:tcPr>
            <w:tcW w:w="3312" w:type="dxa"/>
            <w:vAlign w:val="center"/>
          </w:tcPr>
          <w:p w14:paraId="61D41A38">
            <w:pPr>
              <w:pStyle w:val="8"/>
              <w:jc w:val="center"/>
              <w:rPr>
                <w:rFonts w:ascii="Times New Roman" w:hAnsi="Times New Roman" w:eastAsia="微软雅黑" w:cs="Times New Roman"/>
                <w:sz w:val="21"/>
                <w:szCs w:val="21"/>
                <w:lang w:eastAsia="zh-CN"/>
              </w:rPr>
            </w:pPr>
            <w:r>
              <w:rPr>
                <w:rFonts w:ascii="Times New Roman" w:hAnsi="Times New Roman" w:eastAsia="微软雅黑" w:cs="Times New Roman"/>
                <w:sz w:val="21"/>
                <w:szCs w:val="21"/>
                <w:lang w:eastAsia="zh-CN"/>
              </w:rPr>
              <w:t>基于多源数据融合的页岩气开发区应力场扰动分析方法</w:t>
            </w:r>
          </w:p>
        </w:tc>
        <w:tc>
          <w:tcPr>
            <w:tcW w:w="1560" w:type="dxa"/>
          </w:tcPr>
          <w:p w14:paraId="20FEB26F">
            <w:pPr>
              <w:pStyle w:val="8"/>
              <w:jc w:val="center"/>
              <w:rPr>
                <w:rFonts w:ascii="Times New Roman" w:hAnsi="Times New Roman" w:eastAsia="微软雅黑" w:cs="Times New Roman"/>
                <w:sz w:val="21"/>
                <w:szCs w:val="21"/>
              </w:rPr>
            </w:pPr>
            <w:r>
              <w:rPr>
                <w:rFonts w:ascii="Times New Roman" w:hAnsi="Times New Roman" w:eastAsia="微软雅黑" w:cs="Times New Roman"/>
                <w:sz w:val="21"/>
                <w:szCs w:val="21"/>
                <w:lang w:eastAsia="zh-CN"/>
              </w:rPr>
              <w:t>发明专利</w:t>
            </w:r>
          </w:p>
        </w:tc>
        <w:tc>
          <w:tcPr>
            <w:tcW w:w="790" w:type="dxa"/>
          </w:tcPr>
          <w:p w14:paraId="661008DD">
            <w:pPr>
              <w:pStyle w:val="8"/>
              <w:jc w:val="center"/>
              <w:rPr>
                <w:rFonts w:ascii="Times New Roman" w:hAnsi="Times New Roman" w:eastAsia="微软雅黑" w:cs="Times New Roman"/>
                <w:sz w:val="21"/>
                <w:szCs w:val="21"/>
              </w:rPr>
            </w:pPr>
            <w:r>
              <w:rPr>
                <w:rFonts w:ascii="Times New Roman" w:hAnsi="Times New Roman" w:eastAsia="微软雅黑" w:cs="Times New Roman"/>
                <w:sz w:val="21"/>
                <w:szCs w:val="21"/>
                <w:lang w:eastAsia="zh-CN"/>
              </w:rPr>
              <w:t>中国</w:t>
            </w:r>
          </w:p>
        </w:tc>
        <w:tc>
          <w:tcPr>
            <w:tcW w:w="2992" w:type="dxa"/>
            <w:vAlign w:val="center"/>
          </w:tcPr>
          <w:p w14:paraId="1528C63C">
            <w:pPr>
              <w:jc w:val="center"/>
              <w:textAlignment w:val="center"/>
              <w:rPr>
                <w:rFonts w:ascii="Times New Roman" w:hAnsi="Times New Roman" w:eastAsia="微软雅黑" w:cs="Times New Roman"/>
                <w:lang w:eastAsia="zh-CN"/>
              </w:rPr>
            </w:pPr>
            <w:r>
              <w:rPr>
                <w:rFonts w:ascii="Times New Roman" w:hAnsi="Times New Roman" w:eastAsia="微软雅黑" w:cs="Times New Roman"/>
                <w:lang w:eastAsia="zh-CN"/>
              </w:rPr>
              <w:t>ZL 2026 1 102641.0</w:t>
            </w:r>
          </w:p>
          <w:p w14:paraId="1030FD80">
            <w:pPr>
              <w:jc w:val="center"/>
              <w:rPr>
                <w:rFonts w:ascii="Times New Roman" w:hAnsi="Times New Roman" w:eastAsia="微软雅黑" w:cs="Times New Roman"/>
              </w:rPr>
            </w:pPr>
          </w:p>
        </w:tc>
      </w:tr>
      <w:tr w14:paraId="631D39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645" w:hRule="atLeast"/>
        </w:trPr>
        <w:tc>
          <w:tcPr>
            <w:tcW w:w="712" w:type="dxa"/>
          </w:tcPr>
          <w:p w14:paraId="555E4B23">
            <w:pPr>
              <w:jc w:val="center"/>
              <w:rPr>
                <w:rFonts w:ascii="Times New Roman" w:hAnsi="Times New Roman" w:eastAsia="微软雅黑" w:cs="Times New Roman"/>
              </w:rPr>
            </w:pPr>
            <w:r>
              <w:rPr>
                <w:rFonts w:ascii="Times New Roman" w:hAnsi="Times New Roman" w:eastAsia="微软雅黑" w:cs="Times New Roman"/>
                <w:lang w:eastAsia="zh-CN"/>
              </w:rPr>
              <w:t>4</w:t>
            </w:r>
          </w:p>
        </w:tc>
        <w:tc>
          <w:tcPr>
            <w:tcW w:w="3312" w:type="dxa"/>
          </w:tcPr>
          <w:p w14:paraId="1D756BB6">
            <w:pPr>
              <w:pStyle w:val="8"/>
              <w:jc w:val="center"/>
              <w:rPr>
                <w:rFonts w:ascii="Times New Roman" w:hAnsi="Times New Roman" w:eastAsia="微软雅黑" w:cs="Times New Roman"/>
                <w:sz w:val="21"/>
                <w:szCs w:val="21"/>
                <w:lang w:eastAsia="zh-CN"/>
              </w:rPr>
            </w:pPr>
            <w:r>
              <w:rPr>
                <w:rFonts w:ascii="Times New Roman" w:hAnsi="Times New Roman" w:eastAsia="微软雅黑" w:cs="Times New Roman"/>
                <w:sz w:val="21"/>
                <w:szCs w:val="21"/>
                <w:lang w:eastAsia="zh-CN"/>
              </w:rPr>
              <w:t>基于多旋翼无人直升机的高精度航磁测量系统</w:t>
            </w:r>
          </w:p>
        </w:tc>
        <w:tc>
          <w:tcPr>
            <w:tcW w:w="1560" w:type="dxa"/>
          </w:tcPr>
          <w:p w14:paraId="3CB1F178">
            <w:pPr>
              <w:pStyle w:val="8"/>
              <w:jc w:val="center"/>
              <w:rPr>
                <w:rFonts w:ascii="Times New Roman" w:hAnsi="Times New Roman" w:eastAsia="微软雅黑" w:cs="Times New Roman"/>
                <w:sz w:val="21"/>
                <w:szCs w:val="21"/>
              </w:rPr>
            </w:pPr>
            <w:r>
              <w:rPr>
                <w:rFonts w:ascii="Times New Roman" w:hAnsi="Times New Roman" w:eastAsia="微软雅黑" w:cs="Times New Roman"/>
                <w:sz w:val="21"/>
                <w:szCs w:val="21"/>
                <w:lang w:eastAsia="zh-CN"/>
              </w:rPr>
              <w:t>发明专利</w:t>
            </w:r>
          </w:p>
        </w:tc>
        <w:tc>
          <w:tcPr>
            <w:tcW w:w="790" w:type="dxa"/>
          </w:tcPr>
          <w:p w14:paraId="118965F5">
            <w:pPr>
              <w:pStyle w:val="8"/>
              <w:jc w:val="center"/>
              <w:rPr>
                <w:rFonts w:ascii="Times New Roman" w:hAnsi="Times New Roman" w:eastAsia="微软雅黑" w:cs="Times New Roman"/>
                <w:sz w:val="21"/>
                <w:szCs w:val="21"/>
              </w:rPr>
            </w:pPr>
            <w:r>
              <w:rPr>
                <w:rFonts w:ascii="Times New Roman" w:hAnsi="Times New Roman" w:eastAsia="微软雅黑" w:cs="Times New Roman"/>
                <w:sz w:val="21"/>
                <w:szCs w:val="21"/>
                <w:lang w:eastAsia="zh-CN"/>
              </w:rPr>
              <w:t>中国</w:t>
            </w:r>
          </w:p>
        </w:tc>
        <w:tc>
          <w:tcPr>
            <w:tcW w:w="2992" w:type="dxa"/>
          </w:tcPr>
          <w:p w14:paraId="424999E3">
            <w:pPr>
              <w:jc w:val="center"/>
              <w:textAlignment w:val="center"/>
              <w:rPr>
                <w:rFonts w:ascii="Times New Roman" w:hAnsi="Times New Roman" w:eastAsia="微软雅黑" w:cs="Times New Roman"/>
                <w:lang w:eastAsia="zh-CN"/>
              </w:rPr>
            </w:pPr>
            <w:r>
              <w:rPr>
                <w:rFonts w:ascii="Times New Roman" w:hAnsi="Times New Roman" w:eastAsia="微软雅黑" w:cs="Times New Roman"/>
                <w:lang w:eastAsia="zh-CN"/>
              </w:rPr>
              <w:t>ZL 2021 1 0605297.4</w:t>
            </w:r>
          </w:p>
          <w:p w14:paraId="5F1927EB">
            <w:pPr>
              <w:jc w:val="center"/>
              <w:rPr>
                <w:rFonts w:ascii="Times New Roman" w:hAnsi="Times New Roman" w:eastAsia="微软雅黑" w:cs="Times New Roman"/>
              </w:rPr>
            </w:pPr>
          </w:p>
        </w:tc>
      </w:tr>
      <w:tr w14:paraId="09BD25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649" w:hRule="atLeast"/>
        </w:trPr>
        <w:tc>
          <w:tcPr>
            <w:tcW w:w="712" w:type="dxa"/>
          </w:tcPr>
          <w:p w14:paraId="7342994C">
            <w:pPr>
              <w:jc w:val="center"/>
              <w:rPr>
                <w:rFonts w:ascii="Times New Roman" w:hAnsi="Times New Roman" w:eastAsia="微软雅黑" w:cs="Times New Roman"/>
              </w:rPr>
            </w:pPr>
            <w:r>
              <w:rPr>
                <w:rFonts w:ascii="Times New Roman" w:hAnsi="Times New Roman" w:eastAsia="微软雅黑" w:cs="Times New Roman"/>
                <w:lang w:eastAsia="zh-CN"/>
              </w:rPr>
              <w:t>5</w:t>
            </w:r>
          </w:p>
        </w:tc>
        <w:tc>
          <w:tcPr>
            <w:tcW w:w="3312" w:type="dxa"/>
          </w:tcPr>
          <w:p w14:paraId="0A87095D">
            <w:pPr>
              <w:jc w:val="center"/>
              <w:textAlignment w:val="center"/>
              <w:rPr>
                <w:rFonts w:ascii="Times New Roman" w:hAnsi="Times New Roman" w:eastAsia="微软雅黑" w:cs="Times New Roman"/>
                <w:lang w:eastAsia="zh-CN"/>
              </w:rPr>
            </w:pPr>
            <w:r>
              <w:rPr>
                <w:rFonts w:ascii="Times New Roman" w:hAnsi="Times New Roman" w:eastAsia="微软雅黑" w:cs="Times New Roman"/>
                <w:lang w:eastAsia="zh-CN"/>
              </w:rPr>
              <w:t>一种页岩气开采勘测用钻孔</w:t>
            </w:r>
          </w:p>
          <w:p w14:paraId="5CFFDEA9">
            <w:pPr>
              <w:pStyle w:val="8"/>
              <w:jc w:val="center"/>
              <w:rPr>
                <w:rFonts w:ascii="Times New Roman" w:hAnsi="Times New Roman" w:eastAsia="微软雅黑" w:cs="Times New Roman"/>
                <w:sz w:val="21"/>
                <w:szCs w:val="21"/>
                <w:lang w:eastAsia="zh-CN"/>
              </w:rPr>
            </w:pPr>
            <w:r>
              <w:rPr>
                <w:rFonts w:ascii="Times New Roman" w:hAnsi="Times New Roman" w:eastAsia="微软雅黑" w:cs="Times New Roman"/>
                <w:sz w:val="21"/>
                <w:szCs w:val="21"/>
                <w:lang w:eastAsia="zh-CN"/>
              </w:rPr>
              <w:t>装置</w:t>
            </w:r>
          </w:p>
        </w:tc>
        <w:tc>
          <w:tcPr>
            <w:tcW w:w="1560" w:type="dxa"/>
          </w:tcPr>
          <w:p w14:paraId="5F0DE284">
            <w:pPr>
              <w:pStyle w:val="8"/>
              <w:jc w:val="center"/>
              <w:rPr>
                <w:rFonts w:ascii="Times New Roman" w:hAnsi="Times New Roman" w:eastAsia="微软雅黑" w:cs="Times New Roman"/>
                <w:sz w:val="21"/>
                <w:szCs w:val="21"/>
              </w:rPr>
            </w:pPr>
            <w:r>
              <w:rPr>
                <w:rFonts w:ascii="Times New Roman" w:hAnsi="Times New Roman" w:eastAsia="微软雅黑" w:cs="Times New Roman"/>
                <w:sz w:val="21"/>
                <w:szCs w:val="21"/>
                <w:lang w:eastAsia="zh-CN"/>
              </w:rPr>
              <w:t>发明专利</w:t>
            </w:r>
          </w:p>
        </w:tc>
        <w:tc>
          <w:tcPr>
            <w:tcW w:w="790" w:type="dxa"/>
          </w:tcPr>
          <w:p w14:paraId="32B7DC16">
            <w:pPr>
              <w:pStyle w:val="8"/>
              <w:jc w:val="center"/>
              <w:rPr>
                <w:rFonts w:ascii="Times New Roman" w:hAnsi="Times New Roman" w:eastAsia="微软雅黑" w:cs="Times New Roman"/>
                <w:sz w:val="21"/>
                <w:szCs w:val="21"/>
              </w:rPr>
            </w:pPr>
            <w:r>
              <w:rPr>
                <w:rFonts w:ascii="Times New Roman" w:hAnsi="Times New Roman" w:eastAsia="微软雅黑" w:cs="Times New Roman"/>
                <w:sz w:val="21"/>
                <w:szCs w:val="21"/>
                <w:lang w:eastAsia="zh-CN"/>
              </w:rPr>
              <w:t>中国</w:t>
            </w:r>
          </w:p>
        </w:tc>
        <w:tc>
          <w:tcPr>
            <w:tcW w:w="2992" w:type="dxa"/>
          </w:tcPr>
          <w:p w14:paraId="528314AD">
            <w:pPr>
              <w:spacing w:line="360" w:lineRule="auto"/>
              <w:jc w:val="center"/>
              <w:rPr>
                <w:rFonts w:ascii="Times New Roman" w:hAnsi="Times New Roman" w:eastAsia="微软雅黑" w:cs="Times New Roman"/>
              </w:rPr>
            </w:pPr>
            <w:r>
              <w:rPr>
                <w:rFonts w:ascii="Times New Roman" w:hAnsi="Times New Roman" w:eastAsia="微软雅黑" w:cs="Times New Roman"/>
                <w:lang w:eastAsia="zh-CN"/>
              </w:rPr>
              <w:t>ZL201911064860.0</w:t>
            </w:r>
          </w:p>
        </w:tc>
      </w:tr>
      <w:tr w14:paraId="46674E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649" w:hRule="atLeast"/>
        </w:trPr>
        <w:tc>
          <w:tcPr>
            <w:tcW w:w="712" w:type="dxa"/>
          </w:tcPr>
          <w:p w14:paraId="5EC5BC36">
            <w:pPr>
              <w:jc w:val="center"/>
              <w:rPr>
                <w:rFonts w:ascii="Times New Roman" w:hAnsi="Times New Roman" w:eastAsia="微软雅黑" w:cs="Times New Roman"/>
                <w:lang w:eastAsia="zh-CN"/>
              </w:rPr>
            </w:pPr>
            <w:r>
              <w:rPr>
                <w:rFonts w:ascii="Times New Roman" w:hAnsi="Times New Roman" w:eastAsia="微软雅黑" w:cs="Times New Roman"/>
                <w:lang w:eastAsia="zh-CN"/>
              </w:rPr>
              <w:t>6</w:t>
            </w:r>
          </w:p>
        </w:tc>
        <w:tc>
          <w:tcPr>
            <w:tcW w:w="3312" w:type="dxa"/>
          </w:tcPr>
          <w:p w14:paraId="62D258F4">
            <w:pPr>
              <w:pStyle w:val="8"/>
              <w:jc w:val="center"/>
              <w:rPr>
                <w:rFonts w:ascii="Times New Roman" w:hAnsi="Times New Roman" w:eastAsia="微软雅黑" w:cs="Times New Roman"/>
                <w:sz w:val="21"/>
                <w:szCs w:val="21"/>
                <w:lang w:eastAsia="zh-CN"/>
              </w:rPr>
            </w:pPr>
            <w:r>
              <w:rPr>
                <w:rFonts w:ascii="Times New Roman" w:hAnsi="Times New Roman" w:eastAsia="微软雅黑" w:cs="Times New Roman"/>
                <w:sz w:val="21"/>
                <w:szCs w:val="21"/>
                <w:lang w:eastAsia="zh-CN"/>
              </w:rPr>
              <w:t>一种石油钻采固废处理设备</w:t>
            </w:r>
          </w:p>
        </w:tc>
        <w:tc>
          <w:tcPr>
            <w:tcW w:w="1560" w:type="dxa"/>
          </w:tcPr>
          <w:p w14:paraId="3AAB73B7">
            <w:pPr>
              <w:pStyle w:val="8"/>
              <w:jc w:val="center"/>
              <w:rPr>
                <w:rFonts w:ascii="Times New Roman" w:hAnsi="Times New Roman" w:eastAsia="微软雅黑" w:cs="Times New Roman"/>
                <w:sz w:val="21"/>
                <w:szCs w:val="21"/>
                <w:lang w:eastAsia="zh-CN"/>
              </w:rPr>
            </w:pPr>
            <w:r>
              <w:rPr>
                <w:rFonts w:ascii="Times New Roman" w:hAnsi="Times New Roman" w:eastAsia="微软雅黑" w:cs="Times New Roman"/>
                <w:sz w:val="21"/>
                <w:szCs w:val="21"/>
                <w:lang w:eastAsia="zh-CN"/>
              </w:rPr>
              <w:t>发明专利</w:t>
            </w:r>
          </w:p>
        </w:tc>
        <w:tc>
          <w:tcPr>
            <w:tcW w:w="790" w:type="dxa"/>
          </w:tcPr>
          <w:p w14:paraId="5E82FC9C">
            <w:pPr>
              <w:pStyle w:val="8"/>
              <w:jc w:val="center"/>
              <w:rPr>
                <w:rFonts w:ascii="Times New Roman" w:hAnsi="Times New Roman" w:eastAsia="微软雅黑" w:cs="Times New Roman"/>
                <w:sz w:val="21"/>
                <w:szCs w:val="21"/>
                <w:lang w:eastAsia="zh-CN"/>
              </w:rPr>
            </w:pPr>
            <w:r>
              <w:rPr>
                <w:rFonts w:ascii="Times New Roman" w:hAnsi="Times New Roman" w:eastAsia="微软雅黑" w:cs="Times New Roman"/>
                <w:sz w:val="21"/>
                <w:szCs w:val="21"/>
                <w:lang w:eastAsia="zh-CN"/>
              </w:rPr>
              <w:t>中国</w:t>
            </w:r>
          </w:p>
        </w:tc>
        <w:tc>
          <w:tcPr>
            <w:tcW w:w="2992" w:type="dxa"/>
          </w:tcPr>
          <w:p w14:paraId="6221D14C">
            <w:pPr>
              <w:jc w:val="center"/>
              <w:rPr>
                <w:rFonts w:ascii="Times New Roman" w:hAnsi="Times New Roman" w:eastAsia="微软雅黑" w:cs="Times New Roman"/>
              </w:rPr>
            </w:pPr>
            <w:r>
              <w:rPr>
                <w:rFonts w:ascii="Times New Roman" w:hAnsi="Times New Roman" w:eastAsia="微软雅黑" w:cs="Times New Roman"/>
                <w:lang w:eastAsia="zh-CN"/>
              </w:rPr>
              <w:t>ZL201911093338.5</w:t>
            </w:r>
          </w:p>
        </w:tc>
      </w:tr>
      <w:tr w14:paraId="5A9987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649" w:hRule="atLeast"/>
        </w:trPr>
        <w:tc>
          <w:tcPr>
            <w:tcW w:w="712" w:type="dxa"/>
          </w:tcPr>
          <w:p w14:paraId="6DCB3FBD">
            <w:pPr>
              <w:jc w:val="center"/>
              <w:rPr>
                <w:rFonts w:ascii="Times New Roman" w:hAnsi="Times New Roman" w:eastAsia="微软雅黑" w:cs="Times New Roman"/>
                <w:lang w:eastAsia="zh-CN"/>
              </w:rPr>
            </w:pPr>
            <w:r>
              <w:rPr>
                <w:rFonts w:ascii="Times New Roman" w:hAnsi="Times New Roman" w:eastAsia="微软雅黑" w:cs="Times New Roman"/>
                <w:lang w:eastAsia="zh-CN"/>
              </w:rPr>
              <w:t>7</w:t>
            </w:r>
          </w:p>
        </w:tc>
        <w:tc>
          <w:tcPr>
            <w:tcW w:w="3312" w:type="dxa"/>
          </w:tcPr>
          <w:p w14:paraId="29592ADA">
            <w:pPr>
              <w:pStyle w:val="8"/>
              <w:jc w:val="center"/>
              <w:rPr>
                <w:rFonts w:ascii="Times New Roman" w:hAnsi="Times New Roman" w:eastAsia="微软雅黑" w:cs="Times New Roman"/>
                <w:sz w:val="21"/>
                <w:szCs w:val="21"/>
                <w:lang w:eastAsia="zh-CN"/>
              </w:rPr>
            </w:pPr>
            <w:r>
              <w:rPr>
                <w:rFonts w:ascii="Times New Roman" w:hAnsi="Times New Roman" w:eastAsia="微软雅黑" w:cs="Times New Roman"/>
                <w:sz w:val="21"/>
                <w:szCs w:val="21"/>
                <w:lang w:eastAsia="zh-CN"/>
              </w:rPr>
              <w:t>一种用于页岩气采集的废水处理装置</w:t>
            </w:r>
          </w:p>
        </w:tc>
        <w:tc>
          <w:tcPr>
            <w:tcW w:w="1560" w:type="dxa"/>
          </w:tcPr>
          <w:p w14:paraId="5CCDA3F7">
            <w:pPr>
              <w:pStyle w:val="8"/>
              <w:jc w:val="center"/>
              <w:rPr>
                <w:rFonts w:ascii="Times New Roman" w:hAnsi="Times New Roman" w:eastAsia="微软雅黑" w:cs="Times New Roman"/>
                <w:sz w:val="21"/>
                <w:szCs w:val="21"/>
                <w:lang w:eastAsia="zh-CN"/>
              </w:rPr>
            </w:pPr>
            <w:r>
              <w:rPr>
                <w:rFonts w:ascii="Times New Roman" w:hAnsi="Times New Roman" w:eastAsia="微软雅黑" w:cs="Times New Roman"/>
                <w:sz w:val="21"/>
                <w:szCs w:val="21"/>
                <w:lang w:eastAsia="zh-CN"/>
              </w:rPr>
              <w:t>发明专利</w:t>
            </w:r>
          </w:p>
        </w:tc>
        <w:tc>
          <w:tcPr>
            <w:tcW w:w="790" w:type="dxa"/>
          </w:tcPr>
          <w:p w14:paraId="58183277">
            <w:pPr>
              <w:pStyle w:val="8"/>
              <w:jc w:val="center"/>
              <w:rPr>
                <w:rFonts w:ascii="Times New Roman" w:hAnsi="Times New Roman" w:eastAsia="微软雅黑" w:cs="Times New Roman"/>
                <w:sz w:val="21"/>
                <w:szCs w:val="21"/>
                <w:lang w:eastAsia="zh-CN"/>
              </w:rPr>
            </w:pPr>
            <w:r>
              <w:rPr>
                <w:rFonts w:ascii="Times New Roman" w:hAnsi="Times New Roman" w:eastAsia="微软雅黑" w:cs="Times New Roman"/>
                <w:sz w:val="21"/>
                <w:szCs w:val="21"/>
                <w:lang w:eastAsia="zh-CN"/>
              </w:rPr>
              <w:t>中国</w:t>
            </w:r>
          </w:p>
        </w:tc>
        <w:tc>
          <w:tcPr>
            <w:tcW w:w="2992" w:type="dxa"/>
          </w:tcPr>
          <w:p w14:paraId="3354E31C">
            <w:pPr>
              <w:jc w:val="center"/>
              <w:rPr>
                <w:rFonts w:ascii="Times New Roman" w:hAnsi="Times New Roman" w:eastAsia="微软雅黑" w:cs="Times New Roman"/>
              </w:rPr>
            </w:pPr>
            <w:r>
              <w:rPr>
                <w:rFonts w:ascii="Times New Roman" w:hAnsi="Times New Roman" w:eastAsia="微软雅黑" w:cs="Times New Roman"/>
                <w:lang w:eastAsia="zh-CN"/>
              </w:rPr>
              <w:t>ZL 2021 1 0089948.9</w:t>
            </w:r>
          </w:p>
        </w:tc>
      </w:tr>
      <w:tr w14:paraId="45D801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649" w:hRule="atLeast"/>
        </w:trPr>
        <w:tc>
          <w:tcPr>
            <w:tcW w:w="712" w:type="dxa"/>
          </w:tcPr>
          <w:p w14:paraId="74170D93">
            <w:pPr>
              <w:jc w:val="center"/>
              <w:rPr>
                <w:rFonts w:ascii="Times New Roman" w:hAnsi="Times New Roman" w:eastAsia="微软雅黑" w:cs="Times New Roman"/>
                <w:lang w:eastAsia="zh-CN"/>
              </w:rPr>
            </w:pPr>
            <w:r>
              <w:rPr>
                <w:rFonts w:ascii="Times New Roman" w:hAnsi="Times New Roman" w:eastAsia="微软雅黑" w:cs="Times New Roman"/>
                <w:lang w:eastAsia="zh-CN"/>
              </w:rPr>
              <w:t>8</w:t>
            </w:r>
          </w:p>
        </w:tc>
        <w:tc>
          <w:tcPr>
            <w:tcW w:w="3312" w:type="dxa"/>
            <w:vAlign w:val="center"/>
          </w:tcPr>
          <w:p w14:paraId="3370C1A8">
            <w:pPr>
              <w:pStyle w:val="8"/>
              <w:jc w:val="center"/>
              <w:rPr>
                <w:rFonts w:ascii="Times New Roman" w:hAnsi="Times New Roman" w:eastAsia="微软雅黑" w:cs="Times New Roman"/>
                <w:sz w:val="21"/>
                <w:szCs w:val="21"/>
                <w:lang w:eastAsia="zh-CN"/>
              </w:rPr>
            </w:pPr>
            <w:r>
              <w:rPr>
                <w:rFonts w:ascii="Times New Roman" w:hAnsi="Times New Roman" w:eastAsia="微软雅黑" w:cs="Times New Roman"/>
                <w:sz w:val="21"/>
                <w:szCs w:val="21"/>
                <w:lang w:eastAsia="zh-CN"/>
              </w:rPr>
              <w:t>页岩气与煤层气绿色矿山建设规范</w:t>
            </w:r>
          </w:p>
        </w:tc>
        <w:tc>
          <w:tcPr>
            <w:tcW w:w="1560" w:type="dxa"/>
            <w:vAlign w:val="center"/>
          </w:tcPr>
          <w:p w14:paraId="07C20A40">
            <w:pPr>
              <w:pStyle w:val="8"/>
              <w:jc w:val="center"/>
              <w:rPr>
                <w:rFonts w:ascii="Times New Roman" w:hAnsi="Times New Roman" w:eastAsia="微软雅黑" w:cs="Times New Roman"/>
                <w:sz w:val="21"/>
                <w:szCs w:val="21"/>
                <w:lang w:eastAsia="zh-CN"/>
              </w:rPr>
            </w:pPr>
            <w:r>
              <w:rPr>
                <w:rFonts w:ascii="Times New Roman" w:hAnsi="Times New Roman" w:eastAsia="微软雅黑" w:cs="Times New Roman"/>
                <w:sz w:val="21"/>
                <w:szCs w:val="21"/>
                <w:lang w:eastAsia="zh-CN"/>
              </w:rPr>
              <w:t>标准规范</w:t>
            </w:r>
          </w:p>
        </w:tc>
        <w:tc>
          <w:tcPr>
            <w:tcW w:w="790" w:type="dxa"/>
          </w:tcPr>
          <w:p w14:paraId="3A0FDFEA">
            <w:pPr>
              <w:pStyle w:val="8"/>
              <w:jc w:val="center"/>
              <w:rPr>
                <w:rFonts w:ascii="Times New Roman" w:hAnsi="Times New Roman" w:eastAsia="微软雅黑" w:cs="Times New Roman"/>
                <w:sz w:val="21"/>
                <w:szCs w:val="21"/>
                <w:lang w:eastAsia="zh-CN"/>
              </w:rPr>
            </w:pPr>
            <w:r>
              <w:rPr>
                <w:rFonts w:ascii="Times New Roman" w:hAnsi="Times New Roman" w:eastAsia="微软雅黑" w:cs="Times New Roman"/>
                <w:sz w:val="21"/>
                <w:szCs w:val="21"/>
                <w:lang w:eastAsia="zh-CN"/>
              </w:rPr>
              <w:t>中国</w:t>
            </w:r>
          </w:p>
        </w:tc>
        <w:tc>
          <w:tcPr>
            <w:tcW w:w="2992" w:type="dxa"/>
          </w:tcPr>
          <w:p w14:paraId="0E0DE35C">
            <w:pPr>
              <w:jc w:val="center"/>
              <w:rPr>
                <w:rFonts w:ascii="Times New Roman" w:hAnsi="Times New Roman" w:eastAsia="微软雅黑" w:cs="Times New Roman"/>
              </w:rPr>
            </w:pPr>
            <w:r>
              <w:rPr>
                <w:rFonts w:ascii="Times New Roman" w:hAnsi="Times New Roman" w:eastAsia="微软雅黑" w:cs="Times New Roman"/>
                <w:lang w:eastAsia="zh-CN"/>
              </w:rPr>
              <w:t>DB50/T 1260-2022</w:t>
            </w:r>
          </w:p>
        </w:tc>
      </w:tr>
      <w:tr w14:paraId="483E92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649" w:hRule="atLeast"/>
        </w:trPr>
        <w:tc>
          <w:tcPr>
            <w:tcW w:w="712" w:type="dxa"/>
          </w:tcPr>
          <w:p w14:paraId="30B57D1B">
            <w:pPr>
              <w:jc w:val="center"/>
              <w:rPr>
                <w:rFonts w:ascii="Times New Roman" w:hAnsi="Times New Roman" w:eastAsia="微软雅黑" w:cs="Times New Roman"/>
                <w:lang w:eastAsia="zh-CN"/>
              </w:rPr>
            </w:pPr>
            <w:r>
              <w:rPr>
                <w:rFonts w:ascii="Times New Roman" w:hAnsi="Times New Roman" w:eastAsia="微软雅黑" w:cs="Times New Roman"/>
                <w:lang w:eastAsia="zh-CN"/>
              </w:rPr>
              <w:t>9</w:t>
            </w:r>
          </w:p>
        </w:tc>
        <w:tc>
          <w:tcPr>
            <w:tcW w:w="3312" w:type="dxa"/>
          </w:tcPr>
          <w:p w14:paraId="3D8D2FC7">
            <w:pPr>
              <w:pStyle w:val="8"/>
              <w:jc w:val="center"/>
              <w:rPr>
                <w:rFonts w:ascii="Times New Roman" w:hAnsi="Times New Roman" w:eastAsia="微软雅黑" w:cs="Times New Roman"/>
                <w:sz w:val="21"/>
                <w:szCs w:val="21"/>
                <w:lang w:eastAsia="zh-CN"/>
              </w:rPr>
            </w:pPr>
            <w:r>
              <w:rPr>
                <w:rFonts w:ascii="Times New Roman" w:hAnsi="Times New Roman" w:eastAsia="微软雅黑" w:cs="Times New Roman"/>
                <w:sz w:val="21"/>
                <w:szCs w:val="21"/>
              </w:rPr>
              <w:t>揭秘页岩气（专著）</w:t>
            </w:r>
          </w:p>
        </w:tc>
        <w:tc>
          <w:tcPr>
            <w:tcW w:w="1560" w:type="dxa"/>
          </w:tcPr>
          <w:p w14:paraId="6C6EBD42">
            <w:pPr>
              <w:pStyle w:val="8"/>
              <w:jc w:val="center"/>
              <w:rPr>
                <w:rFonts w:ascii="Times New Roman" w:hAnsi="Times New Roman" w:eastAsia="微软雅黑" w:cs="Times New Roman"/>
                <w:spacing w:val="6"/>
                <w:sz w:val="21"/>
                <w:szCs w:val="21"/>
              </w:rPr>
            </w:pPr>
            <w:r>
              <w:rPr>
                <w:rFonts w:ascii="Times New Roman" w:hAnsi="Times New Roman" w:eastAsia="微软雅黑" w:cs="Times New Roman"/>
                <w:sz w:val="21"/>
                <w:szCs w:val="21"/>
                <w:lang w:eastAsia="zh-CN"/>
              </w:rPr>
              <w:t>专著</w:t>
            </w:r>
          </w:p>
        </w:tc>
        <w:tc>
          <w:tcPr>
            <w:tcW w:w="790" w:type="dxa"/>
          </w:tcPr>
          <w:p w14:paraId="6F5F7041">
            <w:pPr>
              <w:pStyle w:val="8"/>
              <w:jc w:val="center"/>
              <w:rPr>
                <w:rFonts w:ascii="Times New Roman" w:hAnsi="Times New Roman" w:eastAsia="微软雅黑" w:cs="Times New Roman"/>
                <w:sz w:val="21"/>
                <w:szCs w:val="21"/>
              </w:rPr>
            </w:pPr>
            <w:r>
              <w:rPr>
                <w:rFonts w:ascii="Times New Roman" w:hAnsi="Times New Roman" w:eastAsia="微软雅黑" w:cs="Times New Roman"/>
                <w:sz w:val="21"/>
                <w:szCs w:val="21"/>
                <w:lang w:eastAsia="zh-CN"/>
              </w:rPr>
              <w:t>中国</w:t>
            </w:r>
          </w:p>
        </w:tc>
        <w:tc>
          <w:tcPr>
            <w:tcW w:w="2992" w:type="dxa"/>
          </w:tcPr>
          <w:p w14:paraId="2054A937">
            <w:pPr>
              <w:jc w:val="center"/>
              <w:textAlignment w:val="center"/>
              <w:rPr>
                <w:rFonts w:ascii="Times New Roman" w:hAnsi="Times New Roman" w:eastAsia="微软雅黑" w:cs="Times New Roman"/>
                <w:lang w:eastAsia="zh-CN"/>
              </w:rPr>
            </w:pPr>
            <w:r>
              <w:rPr>
                <w:rFonts w:ascii="Times New Roman" w:hAnsi="Times New Roman" w:eastAsia="微软雅黑" w:cs="Times New Roman"/>
                <w:lang w:eastAsia="zh-CN"/>
              </w:rPr>
              <w:t>ISBN 978-7-5689-5506-5</w:t>
            </w:r>
          </w:p>
          <w:p w14:paraId="3B626161">
            <w:pPr>
              <w:spacing w:line="360" w:lineRule="auto"/>
              <w:jc w:val="center"/>
              <w:rPr>
                <w:rFonts w:ascii="Times New Roman" w:hAnsi="Times New Roman" w:eastAsia="微软雅黑" w:cs="Times New Roman"/>
              </w:rPr>
            </w:pPr>
          </w:p>
        </w:tc>
      </w:tr>
      <w:tr w14:paraId="0F73F7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649" w:hRule="atLeast"/>
        </w:trPr>
        <w:tc>
          <w:tcPr>
            <w:tcW w:w="712" w:type="dxa"/>
          </w:tcPr>
          <w:p w14:paraId="25DE2141">
            <w:pPr>
              <w:jc w:val="center"/>
              <w:rPr>
                <w:rFonts w:ascii="Times New Roman" w:hAnsi="Times New Roman" w:eastAsia="微软雅黑" w:cs="Times New Roman"/>
                <w:lang w:eastAsia="zh-CN"/>
              </w:rPr>
            </w:pPr>
            <w:r>
              <w:rPr>
                <w:rFonts w:ascii="Times New Roman" w:hAnsi="Times New Roman" w:eastAsia="微软雅黑" w:cs="Times New Roman"/>
                <w:lang w:eastAsia="zh-CN"/>
              </w:rPr>
              <w:t>10</w:t>
            </w:r>
          </w:p>
        </w:tc>
        <w:tc>
          <w:tcPr>
            <w:tcW w:w="3312" w:type="dxa"/>
          </w:tcPr>
          <w:p w14:paraId="55AE77C1">
            <w:pPr>
              <w:pStyle w:val="8"/>
              <w:jc w:val="center"/>
              <w:rPr>
                <w:rFonts w:ascii="Times New Roman" w:hAnsi="Times New Roman" w:eastAsia="微软雅黑" w:cs="Times New Roman"/>
                <w:sz w:val="21"/>
                <w:szCs w:val="21"/>
                <w:lang w:eastAsia="zh-CN"/>
              </w:rPr>
            </w:pPr>
            <w:r>
              <w:rPr>
                <w:rFonts w:ascii="Times New Roman" w:hAnsi="Times New Roman" w:eastAsia="微软雅黑" w:cs="Times New Roman"/>
                <w:sz w:val="21"/>
                <w:szCs w:val="21"/>
                <w:lang w:eastAsia="zh-CN"/>
              </w:rPr>
              <w:t>非常规油气地面地下一体化部署及信息管理系统V1.0</w:t>
            </w:r>
          </w:p>
        </w:tc>
        <w:tc>
          <w:tcPr>
            <w:tcW w:w="1560" w:type="dxa"/>
          </w:tcPr>
          <w:p w14:paraId="21350959">
            <w:pPr>
              <w:pStyle w:val="8"/>
              <w:jc w:val="center"/>
              <w:rPr>
                <w:rFonts w:ascii="Times New Roman" w:hAnsi="Times New Roman" w:eastAsia="微软雅黑" w:cs="Times New Roman"/>
                <w:spacing w:val="6"/>
                <w:sz w:val="21"/>
                <w:szCs w:val="21"/>
              </w:rPr>
            </w:pPr>
            <w:r>
              <w:rPr>
                <w:rFonts w:ascii="Times New Roman" w:hAnsi="Times New Roman" w:eastAsia="微软雅黑" w:cs="Times New Roman"/>
                <w:sz w:val="21"/>
                <w:szCs w:val="21"/>
                <w:lang w:eastAsia="zh-CN"/>
              </w:rPr>
              <w:t>软件著作权</w:t>
            </w:r>
          </w:p>
        </w:tc>
        <w:tc>
          <w:tcPr>
            <w:tcW w:w="790" w:type="dxa"/>
          </w:tcPr>
          <w:p w14:paraId="0AB453D5">
            <w:pPr>
              <w:pStyle w:val="8"/>
              <w:jc w:val="center"/>
              <w:rPr>
                <w:rFonts w:ascii="Times New Roman" w:hAnsi="Times New Roman" w:eastAsia="微软雅黑" w:cs="Times New Roman"/>
                <w:sz w:val="21"/>
                <w:szCs w:val="21"/>
                <w:lang w:eastAsia="zh-CN"/>
              </w:rPr>
            </w:pPr>
            <w:r>
              <w:rPr>
                <w:rFonts w:ascii="Times New Roman" w:hAnsi="Times New Roman" w:eastAsia="微软雅黑" w:cs="Times New Roman"/>
                <w:sz w:val="21"/>
                <w:szCs w:val="21"/>
                <w:lang w:eastAsia="zh-CN"/>
              </w:rPr>
              <w:t>中国</w:t>
            </w:r>
          </w:p>
        </w:tc>
        <w:tc>
          <w:tcPr>
            <w:tcW w:w="2992" w:type="dxa"/>
          </w:tcPr>
          <w:p w14:paraId="4300C435">
            <w:pPr>
              <w:jc w:val="center"/>
              <w:rPr>
                <w:rFonts w:ascii="Times New Roman" w:hAnsi="Times New Roman" w:eastAsia="微软雅黑" w:cs="Times New Roman"/>
                <w:lang w:eastAsia="zh-CN"/>
              </w:rPr>
            </w:pPr>
            <w:r>
              <w:rPr>
                <w:rFonts w:ascii="Times New Roman" w:hAnsi="Times New Roman" w:eastAsia="微软雅黑" w:cs="Times New Roman"/>
                <w:lang w:eastAsia="zh-CN"/>
              </w:rPr>
              <w:t>2022SR0092542</w:t>
            </w:r>
          </w:p>
        </w:tc>
      </w:tr>
    </w:tbl>
    <w:p w14:paraId="384685F5">
      <w:pPr>
        <w:spacing w:line="117" w:lineRule="exact"/>
        <w:rPr>
          <w:sz w:val="10"/>
          <w:lang w:eastAsia="zh-CN"/>
        </w:rPr>
      </w:pPr>
    </w:p>
    <w:p w14:paraId="048DE478">
      <w:pPr>
        <w:spacing w:before="28"/>
        <w:rPr>
          <w:lang w:eastAsia="zh-CN"/>
        </w:rPr>
      </w:pPr>
    </w:p>
    <w:p w14:paraId="5282889D">
      <w:pPr>
        <w:rPr>
          <w:lang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方正仿宋_GBK">
    <w:panose1 w:val="03000509000000000000"/>
    <w:charset w:val="86"/>
    <w:family w:val="script"/>
    <w:pitch w:val="default"/>
    <w:sig w:usb0="00000001" w:usb1="080E0000" w:usb2="00000000" w:usb3="00000000" w:csb0="00040000" w:csb1="00000000"/>
  </w:font>
  <w:font w:name="方正黑体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_GBK">
    <w:altName w:val="微软雅黑"/>
    <w:panose1 w:val="00000000000000000000"/>
    <w:charset w:val="86"/>
    <w:family w:val="script"/>
    <w:pitch w:val="default"/>
    <w:sig w:usb0="00000000" w:usb1="00000000" w:usb2="00000010" w:usb3="00000000" w:csb0="00040000" w:csb1="00000000"/>
  </w:font>
  <w:font w:name="KSOFEC83043A">
    <w:panose1 w:val="020B0503020204020204"/>
    <w:charset w:val="86"/>
    <w:family w:val="auto"/>
    <w:pitch w:val="default"/>
    <w:sig w:usb0="00000001" w:usb1="00000000" w:usb2="00000000" w:usb3="00000000" w:csb0="00040001" w:csb1="00000000"/>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B5020">
    <w:pPr>
      <w:spacing w:line="166" w:lineRule="auto"/>
      <w:ind w:left="4573"/>
      <w:rPr>
        <w:rFonts w:ascii="Calibri" w:hAnsi="Calibri" w:eastAsia="Calibri" w:cs="Calibri"/>
        <w:sz w:val="18"/>
        <w:szCs w:val="18"/>
      </w:rPr>
    </w:pPr>
    <w:r>
      <w:rPr>
        <w:rFonts w:ascii="Calibri" w:hAnsi="Calibri" w:eastAsia="Calibri" w:cs="Calibri"/>
        <w:spacing w:val="-4"/>
        <w:sz w:val="18"/>
        <w:szCs w:val="18"/>
      </w:rPr>
      <w:t>11</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346A3A"/>
    <w:rsid w:val="0005655B"/>
    <w:rsid w:val="00065CC8"/>
    <w:rsid w:val="0013041A"/>
    <w:rsid w:val="00160004"/>
    <w:rsid w:val="001D3188"/>
    <w:rsid w:val="00203D87"/>
    <w:rsid w:val="00283584"/>
    <w:rsid w:val="002B2BF0"/>
    <w:rsid w:val="0035663D"/>
    <w:rsid w:val="00451AF3"/>
    <w:rsid w:val="00463B86"/>
    <w:rsid w:val="004B3369"/>
    <w:rsid w:val="004B62EB"/>
    <w:rsid w:val="004E3147"/>
    <w:rsid w:val="00552C14"/>
    <w:rsid w:val="00577B98"/>
    <w:rsid w:val="005F27CC"/>
    <w:rsid w:val="00616730"/>
    <w:rsid w:val="00625693"/>
    <w:rsid w:val="006541EE"/>
    <w:rsid w:val="00657EA5"/>
    <w:rsid w:val="006C2FE2"/>
    <w:rsid w:val="00772642"/>
    <w:rsid w:val="007A237F"/>
    <w:rsid w:val="00864879"/>
    <w:rsid w:val="009259B3"/>
    <w:rsid w:val="009B11C4"/>
    <w:rsid w:val="009B5F70"/>
    <w:rsid w:val="00A6275A"/>
    <w:rsid w:val="00A92F32"/>
    <w:rsid w:val="00AA4D1E"/>
    <w:rsid w:val="00B476ED"/>
    <w:rsid w:val="00B73D3F"/>
    <w:rsid w:val="00BB61AF"/>
    <w:rsid w:val="00C81551"/>
    <w:rsid w:val="00CB02E8"/>
    <w:rsid w:val="00CD2336"/>
    <w:rsid w:val="00D964AF"/>
    <w:rsid w:val="00DB7237"/>
    <w:rsid w:val="00E06F15"/>
    <w:rsid w:val="00E10874"/>
    <w:rsid w:val="00EE0D7D"/>
    <w:rsid w:val="00F12420"/>
    <w:rsid w:val="00F80601"/>
    <w:rsid w:val="00FF05A0"/>
    <w:rsid w:val="44346A3A"/>
    <w:rsid w:val="542772B7"/>
    <w:rsid w:val="71F904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ody Text"/>
    <w:basedOn w:val="1"/>
    <w:semiHidden/>
    <w:qFormat/>
    <w:uiPriority w:val="0"/>
    <w:rPr>
      <w:rFonts w:ascii="方正仿宋_GBK" w:hAnsi="方正仿宋_GBK" w:eastAsia="方正仿宋_GBK" w:cs="方正仿宋_GBK"/>
      <w:sz w:val="31"/>
      <w:szCs w:val="31"/>
    </w:rPr>
  </w:style>
  <w:style w:type="paragraph" w:styleId="3">
    <w:name w:val="footer"/>
    <w:basedOn w:val="1"/>
    <w:link w:val="10"/>
    <w:qFormat/>
    <w:uiPriority w:val="99"/>
    <w:pPr>
      <w:tabs>
        <w:tab w:val="center" w:pos="4153"/>
        <w:tab w:val="right" w:pos="8306"/>
      </w:tabs>
    </w:pPr>
    <w:rPr>
      <w:sz w:val="18"/>
      <w:szCs w:val="18"/>
    </w:rPr>
  </w:style>
  <w:style w:type="paragraph" w:styleId="4">
    <w:name w:val="header"/>
    <w:basedOn w:val="1"/>
    <w:link w:val="9"/>
    <w:uiPriority w:val="0"/>
    <w:pPr>
      <w:tabs>
        <w:tab w:val="center" w:pos="4153"/>
        <w:tab w:val="right" w:pos="8306"/>
      </w:tabs>
      <w:jc w:val="center"/>
    </w:pPr>
    <w:rPr>
      <w:sz w:val="18"/>
      <w:szCs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方正仿宋_GBK" w:hAnsi="方正仿宋_GBK" w:eastAsia="方正仿宋_GBK" w:cs="方正仿宋_GBK"/>
      <w:sz w:val="24"/>
      <w:szCs w:val="24"/>
    </w:rPr>
  </w:style>
  <w:style w:type="character" w:customStyle="1" w:styleId="9">
    <w:name w:val="页眉 字符"/>
    <w:basedOn w:val="6"/>
    <w:link w:val="4"/>
    <w:uiPriority w:val="0"/>
    <w:rPr>
      <w:rFonts w:ascii="Arial" w:hAnsi="Arial" w:eastAsia="Arial" w:cs="Arial"/>
      <w:snapToGrid w:val="0"/>
      <w:color w:val="000000"/>
      <w:sz w:val="18"/>
      <w:szCs w:val="18"/>
      <w:lang w:eastAsia="en-US"/>
    </w:rPr>
  </w:style>
  <w:style w:type="character" w:customStyle="1" w:styleId="10">
    <w:name w:val="页脚 字符"/>
    <w:basedOn w:val="6"/>
    <w:link w:val="3"/>
    <w:qFormat/>
    <w:uiPriority w:val="0"/>
    <w:rPr>
      <w:rFonts w:ascii="Arial" w:hAnsi="Arial" w:eastAsia="Arial" w:cs="Arial"/>
      <w:snapToGrid w:val="0"/>
      <w:color w:val="000000"/>
      <w:sz w:val="18"/>
      <w:szCs w:val="18"/>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3050</Words>
  <Characters>3228</Characters>
  <Lines>23</Lines>
  <Paragraphs>6</Paragraphs>
  <TotalTime>28</TotalTime>
  <ScaleCrop>false</ScaleCrop>
  <LinksUpToDate>false</LinksUpToDate>
  <CharactersWithSpaces>3249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2026-01-27T06:40:00Z</dcterms:created>
  <dc:creator>初一十五</dc:creator>
  <cp:lastModifiedBy>佟研</cp:lastModifiedBy>
  <dcterms:modified xsi:type="dcterms:W3CDTF">2026-09-08T09:31:06Z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2033702167444D4EBAC4B462064E6491_11</vt:lpwstr>
  </property>
  <property fmtid="{D5CDD505-2E9C-101B-9397-08002B2CF9AE}" pid="4" name="KSOTemplateDocerSaveRecord">
    <vt:lpwstr>eyJoZGlkIjoiM2RjYTI0OWE0NDIwZDliZmFkOTRhNmVlMjZkNTM2NzgiLCJ1c2VySWQiOiIxNjU5OTM2NDI0In0=</vt:lpwstr>
  </property>
</Properties>
</file>