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4D17F5">
      <w:pPr>
        <w:jc w:val="center"/>
        <w:rPr>
          <w:rFonts w:hint="eastAsia" w:asciiTheme="minorEastAsia" w:hAnsiTheme="minorEastAsia" w:cstheme="minorEastAsia"/>
          <w:b/>
          <w:sz w:val="24"/>
          <w:szCs w:val="24"/>
        </w:rPr>
      </w:pPr>
      <w:r>
        <w:rPr>
          <w:rFonts w:hint="eastAsia" w:asciiTheme="minorEastAsia" w:hAnsiTheme="minorEastAsia" w:cstheme="minorEastAsia"/>
          <w:b/>
          <w:sz w:val="24"/>
          <w:szCs w:val="24"/>
        </w:rPr>
        <w:t>陕西省自然科学奖公示信息</w:t>
      </w:r>
    </w:p>
    <w:p w14:paraId="6F9D0877">
      <w:pPr>
        <w:jc w:val="center"/>
        <w:rPr>
          <w:rFonts w:hint="eastAsia" w:asciiTheme="minorEastAsia" w:hAnsiTheme="minorEastAsia" w:cstheme="minorEastAsia"/>
          <w:b/>
          <w:sz w:val="24"/>
          <w:szCs w:val="24"/>
        </w:rPr>
      </w:pPr>
      <w:r>
        <w:rPr>
          <w:rFonts w:hint="eastAsia" w:asciiTheme="minorEastAsia" w:hAnsiTheme="minorEastAsia" w:cstheme="minorEastAsia"/>
          <w:b/>
          <w:sz w:val="24"/>
          <w:szCs w:val="24"/>
        </w:rPr>
        <w:t>（2026年度）</w:t>
      </w:r>
    </w:p>
    <w:p w14:paraId="765A9DCF">
      <w:pPr>
        <w:jc w:val="center"/>
        <w:rPr>
          <w:rFonts w:hint="eastAsia" w:asciiTheme="minorEastAsia" w:hAnsiTheme="minorEastAsia" w:cstheme="minorEastAsia"/>
          <w:b/>
          <w:sz w:val="24"/>
          <w:szCs w:val="24"/>
        </w:rPr>
      </w:pPr>
    </w:p>
    <w:p w14:paraId="0D6513A6">
      <w:pPr>
        <w:pStyle w:val="11"/>
        <w:spacing w:before="0"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一、项目名称</w:t>
      </w:r>
    </w:p>
    <w:p w14:paraId="79AF8E1C">
      <w:pPr>
        <w:spacing w:line="360" w:lineRule="auto"/>
        <w:ind w:firstLine="480" w:firstLineChars="200"/>
        <w:rPr>
          <w:rFonts w:hint="eastAsia" w:asciiTheme="minorEastAsia" w:hAnsiTheme="minorEastAsia" w:cstheme="minorEastAsia"/>
          <w:sz w:val="24"/>
          <w:szCs w:val="24"/>
        </w:rPr>
      </w:pPr>
      <w:r>
        <w:rPr>
          <w:rFonts w:hint="eastAsia" w:asciiTheme="minorEastAsia" w:hAnsiTheme="minorEastAsia" w:cstheme="minorEastAsia"/>
          <w:sz w:val="24"/>
          <w:szCs w:val="24"/>
        </w:rPr>
        <w:t>光反应界面电子结构调控与关键反应中间体形成机制</w:t>
      </w:r>
    </w:p>
    <w:p w14:paraId="5EEBBAF6">
      <w:pPr>
        <w:pStyle w:val="11"/>
        <w:spacing w:before="0"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二、提名奖种</w:t>
      </w:r>
    </w:p>
    <w:p w14:paraId="147053B3">
      <w:pPr>
        <w:spacing w:line="360" w:lineRule="auto"/>
        <w:ind w:firstLine="480" w:firstLineChars="200"/>
        <w:rPr>
          <w:rFonts w:hint="eastAsia" w:asciiTheme="minorEastAsia" w:hAnsiTheme="minorEastAsia" w:cstheme="minorEastAsia"/>
          <w:sz w:val="24"/>
          <w:szCs w:val="24"/>
        </w:rPr>
      </w:pPr>
      <w:r>
        <w:rPr>
          <w:rFonts w:hint="eastAsia" w:asciiTheme="minorEastAsia" w:hAnsiTheme="minorEastAsia" w:cstheme="minorEastAsia"/>
          <w:sz w:val="24"/>
          <w:szCs w:val="24"/>
        </w:rPr>
        <w:t>陕西省自然科学奖</w:t>
      </w:r>
    </w:p>
    <w:p w14:paraId="3447B5D2">
      <w:pPr>
        <w:pStyle w:val="11"/>
        <w:spacing w:before="0"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三、提名者及提名意见</w:t>
      </w:r>
    </w:p>
    <w:p w14:paraId="3E17112E">
      <w:pPr>
        <w:spacing w:line="360" w:lineRule="auto"/>
        <w:ind w:firstLine="480" w:firstLineChars="200"/>
        <w:rPr>
          <w:rFonts w:hint="eastAsia" w:asciiTheme="minorEastAsia" w:hAnsiTheme="minorEastAsia" w:cstheme="minorEastAsia"/>
          <w:b/>
          <w:bCs/>
          <w:sz w:val="24"/>
          <w:szCs w:val="24"/>
        </w:rPr>
      </w:pPr>
      <w:r>
        <w:rPr>
          <w:rFonts w:hint="eastAsia" w:asciiTheme="minorEastAsia" w:hAnsiTheme="minorEastAsia" w:cstheme="minorEastAsia"/>
          <w:b/>
          <w:bCs/>
          <w:sz w:val="24"/>
          <w:szCs w:val="24"/>
        </w:rPr>
        <w:t>提名者：申烨华、黄宇（专家提名）</w:t>
      </w:r>
    </w:p>
    <w:p w14:paraId="15FAEE07">
      <w:pPr>
        <w:spacing w:line="360" w:lineRule="auto"/>
        <w:ind w:firstLine="480" w:firstLineChars="200"/>
        <w:rPr>
          <w:rFonts w:hint="eastAsia" w:asciiTheme="minorEastAsia" w:hAnsiTheme="minorEastAsia" w:cstheme="minorEastAsia"/>
          <w:b/>
          <w:bCs/>
          <w:sz w:val="24"/>
          <w:szCs w:val="24"/>
        </w:rPr>
      </w:pPr>
      <w:r>
        <w:rPr>
          <w:rFonts w:hint="eastAsia" w:asciiTheme="minorEastAsia" w:hAnsiTheme="minorEastAsia" w:cstheme="minorEastAsia"/>
          <w:b/>
          <w:bCs/>
          <w:sz w:val="24"/>
          <w:szCs w:val="24"/>
        </w:rPr>
        <w:t>提名意见：</w:t>
      </w:r>
    </w:p>
    <w:p w14:paraId="568A2DA0">
      <w:pPr>
        <w:spacing w:line="360" w:lineRule="auto"/>
        <w:ind w:firstLine="480" w:firstLineChars="200"/>
        <w:rPr>
          <w:rFonts w:hint="eastAsia" w:asciiTheme="minorEastAsia" w:hAnsiTheme="minorEastAsia" w:cstheme="minorEastAsia"/>
          <w:b/>
          <w:bCs/>
          <w:sz w:val="24"/>
          <w:szCs w:val="24"/>
        </w:rPr>
      </w:pPr>
      <w:r>
        <w:rPr>
          <w:rFonts w:hint="eastAsia" w:asciiTheme="minorEastAsia" w:hAnsiTheme="minorEastAsia" w:cstheme="minorEastAsia"/>
          <w:b/>
          <w:bCs/>
          <w:sz w:val="24"/>
          <w:szCs w:val="24"/>
        </w:rPr>
        <w:t>专家一（申烨华）提名意见：</w:t>
      </w:r>
    </w:p>
    <w:p w14:paraId="0E053DFA">
      <w:pPr>
        <w:spacing w:line="360" w:lineRule="auto"/>
        <w:ind w:firstLine="480" w:firstLineChars="200"/>
        <w:rPr>
          <w:rFonts w:hint="eastAsia" w:asciiTheme="minorEastAsia" w:hAnsiTheme="minorEastAsia" w:cstheme="minorEastAsia"/>
          <w:sz w:val="24"/>
          <w:szCs w:val="24"/>
        </w:rPr>
      </w:pPr>
      <w:r>
        <w:rPr>
          <w:rFonts w:hint="eastAsia" w:asciiTheme="minorEastAsia" w:hAnsiTheme="minorEastAsia" w:cstheme="minorEastAsia"/>
          <w:sz w:val="24"/>
          <w:szCs w:val="24"/>
        </w:rPr>
        <w:t>项目团队围绕复杂光反应体系中界面电子结构调控、光生载流子迁移、动态反应中间体形成及复杂分子选择性转化等基础科学问题开展系统研究。构筑了多类型异质界面，揭示了界面电子耦合、极化效应及多尺度界面结构对光生载流子定向迁移和表面反应活化的调控规律；发展了基于从头算分子动力学的动态反应路径解析方法，捕获并解析了复杂光催化反应中的关键瞬态中间体，揭示了析氧过程中含氧物种形成与氧氧键生成机制；进一步将上述机制认识拓展至天然木质素选择性转化，揭示了分子吸附构型、自由基中间体演化与C-C/C-O键选择性活化之间的内在关联，建立了天然高分子光催化定向转化的新理论。项目成果发表于Nat. Commun.、Angew. Chem. Int. Ed.、ACS Catal.等国际期刊，论文受到国内外同行持续关注和引用，并获得多位中国科学院院士、加拿大皇家科学院院士及国际知名学者的积极评价。项目研究成果拓展了光催化界面调控和复杂反应机制研究的基础理论，为光催化材料理性设计、复杂反应路径调控及生物质资源高值利用提供了重要科学依据，具有较强的原创性和学术价值。</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提名该项目为陕西省自然科学奖一等奖。</w:t>
      </w:r>
    </w:p>
    <w:p w14:paraId="7A27540B">
      <w:pPr>
        <w:spacing w:line="360" w:lineRule="auto"/>
        <w:ind w:firstLine="480" w:firstLineChars="200"/>
        <w:rPr>
          <w:rFonts w:hint="eastAsia" w:asciiTheme="minorEastAsia" w:hAnsiTheme="minorEastAsia" w:cstheme="minorEastAsia"/>
          <w:b/>
          <w:bCs/>
          <w:sz w:val="24"/>
          <w:szCs w:val="24"/>
        </w:rPr>
      </w:pPr>
      <w:r>
        <w:rPr>
          <w:rFonts w:hint="eastAsia" w:asciiTheme="minorEastAsia" w:hAnsiTheme="minorEastAsia" w:cstheme="minorEastAsia"/>
          <w:b/>
          <w:bCs/>
          <w:sz w:val="24"/>
          <w:szCs w:val="24"/>
        </w:rPr>
        <w:t>专家二（黄宇）提名意见：</w:t>
      </w:r>
    </w:p>
    <w:p w14:paraId="51D01AFD">
      <w:pPr>
        <w:spacing w:line="360" w:lineRule="auto"/>
        <w:ind w:firstLine="480" w:firstLineChars="200"/>
        <w:rPr>
          <w:rFonts w:hint="eastAsia" w:asciiTheme="minorEastAsia" w:hAnsiTheme="minorEastAsia" w:cstheme="minorEastAsia"/>
          <w:sz w:val="24"/>
          <w:szCs w:val="24"/>
        </w:rPr>
      </w:pPr>
      <w:r>
        <w:rPr>
          <w:rFonts w:hint="eastAsia" w:asciiTheme="minorEastAsia" w:hAnsiTheme="minorEastAsia" w:cstheme="minorEastAsia"/>
          <w:sz w:val="24"/>
          <w:szCs w:val="24"/>
        </w:rPr>
        <w:t>在“双碳”目标和可持续能源与资源高值利用需求持续增长的背景下，高效光催化转化是实现太阳能利用、清洁能源制备和生物质资源高值化利用的重要技术途径。项目团队（1）发展了配位聚合物原位衍生与异质组装方法，实现了光催化材料形貌和界面结构的调控；（2）提出S型异质结等界面调控策略，揭示了界面电荷迁移与光生载流子分离的关系；（3）利用第一性原理分子动力学解析反应动态过程，识别了关键中间体并揭示其演化规律；（4）构筑了面向木质素选择性转化的异质光催化体系，阐明了关键化学键活化与断裂机制。项目论文发表于Nat. Commun.、Angew. Chem. Int. Ed.等，总被引3万余次，20余篇为ESI高被引论文；受邀30余次会议报告。项目成果在光催化界面调控、反应机制研究及生物质选择性转化等方面具有较好的原创性和科学价值，总体研究水平达到国际先进，部分研究成果具有国际领先水平，对推动光催化基础研究及太阳能驱动资源高值转化具有积极意义。</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提名该项目为陕西省自然科学奖一等奖。</w:t>
      </w:r>
    </w:p>
    <w:p w14:paraId="37A83274">
      <w:pPr>
        <w:spacing w:line="360" w:lineRule="auto"/>
        <w:ind w:firstLine="480" w:firstLineChars="200"/>
        <w:rPr>
          <w:rFonts w:hint="eastAsia" w:asciiTheme="minorEastAsia" w:hAnsiTheme="minorEastAsia" w:cstheme="minorEastAsia"/>
          <w:sz w:val="24"/>
          <w:szCs w:val="24"/>
        </w:rPr>
      </w:pPr>
      <w:r>
        <w:rPr>
          <w:rFonts w:hint="eastAsia" w:asciiTheme="minorEastAsia" w:hAnsiTheme="minorEastAsia" w:cstheme="minorEastAsia"/>
          <w:sz w:val="24"/>
          <w:szCs w:val="24"/>
        </w:rPr>
        <w:t>两位专家均提名该项目为陕西省自然科学奖一等奖。</w:t>
      </w:r>
    </w:p>
    <w:p w14:paraId="4AA45E1D">
      <w:pPr>
        <w:pStyle w:val="11"/>
        <w:spacing w:before="0" w:line="360" w:lineRule="auto"/>
        <w:rPr>
          <w:rFonts w:hint="eastAsia"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rPr>
        <w:t>四、</w:t>
      </w:r>
      <w:r>
        <w:rPr>
          <w:rFonts w:hint="eastAsia" w:asciiTheme="minorEastAsia" w:hAnsiTheme="minorEastAsia" w:eastAsiaTheme="minorEastAsia" w:cstheme="minorEastAsia"/>
          <w:sz w:val="24"/>
          <w:szCs w:val="24"/>
          <w:lang w:val="zh-CN"/>
        </w:rPr>
        <w:t>项目简介</w:t>
      </w:r>
    </w:p>
    <w:p w14:paraId="1EBB4D70">
      <w:pPr>
        <w:spacing w:line="360" w:lineRule="auto"/>
        <w:ind w:firstLine="480" w:firstLineChars="200"/>
        <w:rPr>
          <w:rFonts w:hint="eastAsia" w:asciiTheme="minorEastAsia" w:hAnsiTheme="minorEastAsia" w:cstheme="minorEastAsia"/>
          <w:sz w:val="24"/>
          <w:szCs w:val="24"/>
        </w:rPr>
      </w:pPr>
      <w:r>
        <w:rPr>
          <w:rFonts w:hint="eastAsia" w:asciiTheme="minorEastAsia" w:hAnsiTheme="minorEastAsia" w:cstheme="minorEastAsia"/>
          <w:sz w:val="24"/>
          <w:szCs w:val="24"/>
        </w:rPr>
        <w:t>1、主要研究内容</w:t>
      </w:r>
    </w:p>
    <w:p w14:paraId="12967F6E">
      <w:pPr>
        <w:spacing w:line="360" w:lineRule="auto"/>
        <w:ind w:firstLine="480" w:firstLineChars="200"/>
        <w:rPr>
          <w:rFonts w:hint="eastAsia" w:asciiTheme="minorEastAsia" w:hAnsiTheme="minorEastAsia" w:cstheme="minorEastAsia"/>
          <w:sz w:val="24"/>
          <w:szCs w:val="24"/>
        </w:rPr>
      </w:pPr>
      <w:r>
        <w:rPr>
          <w:rFonts w:hint="eastAsia" w:asciiTheme="minorEastAsia" w:hAnsiTheme="minorEastAsia" w:cstheme="minorEastAsia"/>
          <w:sz w:val="24"/>
          <w:szCs w:val="24"/>
        </w:rPr>
        <w:t>该项目属于能源化工技术领域的光催化与催化化学方向。</w:t>
      </w:r>
    </w:p>
    <w:p w14:paraId="32A36C37">
      <w:pPr>
        <w:spacing w:line="360" w:lineRule="auto"/>
        <w:ind w:firstLine="480" w:firstLineChars="200"/>
        <w:rPr>
          <w:rFonts w:hint="eastAsia" w:asciiTheme="minorEastAsia" w:hAnsiTheme="minorEastAsia" w:cstheme="minorEastAsia"/>
          <w:sz w:val="24"/>
          <w:szCs w:val="24"/>
        </w:rPr>
      </w:pPr>
      <w:r>
        <w:rPr>
          <w:rFonts w:hint="eastAsia" w:asciiTheme="minorEastAsia" w:hAnsiTheme="minorEastAsia" w:cstheme="minorEastAsia"/>
          <w:sz w:val="24"/>
          <w:szCs w:val="24"/>
        </w:rPr>
        <w:t>光催化过程利用太阳能驱动化学反应，是实现可持续能源转化、环境污染治理以及生物质资源高值利用的重要技术途径。光催化水分解制氢、析氧以及复杂有机分子选择性转化等过程均涉及光生载流子的产生、界面迁移和多电子反应等关键动力学步骤。然而，由于光催化反应具有瞬态性、多电子转移和多相界面耦合等特点，关键反应中间体的形成演化机制、界面电子结构调控规律以及反应路径选择原则仍缺乏系统认识，限制了高效光催化体系的理性设计。针对上述基础科学问题，项目围绕“界面电子结构调控关键反应中间体形成及选择性转化机制”这一核心科学问题，结合原位光谱分析、密度泛函理论计算和从头算分子动力学模拟等研究手段，系统开展了环境污染物光催化降解、太阳能水分解以及生物质选择性转化等典型光催化过程研究。项目团队围绕多尺度界面结构、界面电子行为及动态反应过程开展研究，揭示了异质界面对光生载流子迁移和反应活化的调控规律，发展了关键中间体识别与反应路径解析方法，阐明了天然高分子选择性化学键活化及自由基演化机制，为高效光催化材料设计提供了新的科学认识。</w:t>
      </w:r>
    </w:p>
    <w:p w14:paraId="427B37DF">
      <w:pPr>
        <w:spacing w:line="360" w:lineRule="auto"/>
        <w:ind w:firstLine="480" w:firstLineChars="200"/>
        <w:rPr>
          <w:rFonts w:hint="eastAsia" w:asciiTheme="minorEastAsia" w:hAnsiTheme="minorEastAsia" w:cstheme="minorEastAsia"/>
          <w:sz w:val="24"/>
          <w:szCs w:val="24"/>
        </w:rPr>
      </w:pPr>
      <w:r>
        <w:rPr>
          <w:rFonts w:hint="eastAsia" w:asciiTheme="minorEastAsia" w:hAnsiTheme="minorEastAsia" w:cstheme="minorEastAsia"/>
          <w:sz w:val="24"/>
          <w:szCs w:val="24"/>
        </w:rPr>
        <w:t>2、主要科学发现</w:t>
      </w:r>
    </w:p>
    <w:p w14:paraId="0C1B4134">
      <w:pPr>
        <w:spacing w:line="360" w:lineRule="auto"/>
        <w:ind w:firstLine="480" w:firstLineChars="200"/>
        <w:rPr>
          <w:rFonts w:hint="eastAsia" w:asciiTheme="minorEastAsia" w:hAnsiTheme="minorEastAsia" w:cstheme="minorEastAsia"/>
          <w:sz w:val="24"/>
          <w:szCs w:val="24"/>
        </w:rPr>
      </w:pPr>
      <w:r>
        <w:rPr>
          <w:rFonts w:hint="eastAsia" w:asciiTheme="minorEastAsia" w:hAnsiTheme="minorEastAsia" w:cstheme="minorEastAsia"/>
          <w:sz w:val="24"/>
          <w:szCs w:val="24"/>
        </w:rPr>
        <w:t>科学发现一：揭示异质界面电子结构调控光生载流子迁移与反应活化规律，建立多尺度界面工程促进光催化转化的新机制。光催化反应性能不仅取决于材料光吸收能力，更受到界面结构、电荷迁移行为以及表面反应过程的协同影响。然而，复杂异质界面中结构调控、电荷行为与催化性能之间的内在联系尚缺乏系统认识。针对这一问题，项目团队围绕界面结构调控与电子行为演化规律开展研究，构筑了多种具有特定电子耦合特征的光催化异质体系，揭示了界面结构促进载流子分离和反应活化的内在机制。项目团队首先利用金属氧簇结构优势，构建Ti32氧簇/CdS复合光催化体系，揭示了氧簇界面对半导体电子结构调控及光生载流子分离促进作用，实现了界面结构调控与催化性能提升之间的关联。进一步引入压电极化效应，构筑Ti32氧簇/BaTiO3/CuS复合异质体系，发现外场诱导的界面电荷调控能够促进光生载流子定向迁移，提出了压电效应协同强化光催化过程的新机制。在上述研究基础上，项目团队进一步发展原子级界面调控策略，揭示异质界面电子重构形成内建电场并促进载流子定向迁移的规律，实现了从界面结构设计到电子行为调控的理论认识提升，为高效光催化体系构筑提供了科学依据。相关成果发表于：Angew. Chem. Int. Ed. 2022, 61, e202205312；Adv. Mater. 2018, 30, e1705713；Appl. Catal. B: Environ. 2021, 291, 120019；Constr. Build. Mater. 2024, 432, 136684等。</w:t>
      </w:r>
    </w:p>
    <w:p w14:paraId="0CA11D8B">
      <w:pPr>
        <w:spacing w:line="360" w:lineRule="auto"/>
        <w:ind w:firstLine="480" w:firstLineChars="200"/>
        <w:rPr>
          <w:rFonts w:hint="eastAsia" w:asciiTheme="minorEastAsia" w:hAnsiTheme="minorEastAsia" w:cstheme="minorEastAsia"/>
          <w:sz w:val="24"/>
          <w:szCs w:val="24"/>
        </w:rPr>
      </w:pPr>
      <w:r>
        <w:rPr>
          <w:rFonts w:hint="eastAsia" w:asciiTheme="minorEastAsia" w:hAnsiTheme="minorEastAsia" w:cstheme="minorEastAsia"/>
          <w:sz w:val="24"/>
          <w:szCs w:val="24"/>
        </w:rPr>
        <w:t>科学发现二：建立复杂光催化多电子反应动态中间体识别方法，揭示析氧过程中关键含氧物种形成与演化规律。光催化析氧反应涉及多步质子耦合电子转移过程，其真实反应路径和关键中间体长期以来主要依赖静态理论计算和间接实验分析，难以反映复杂水环境下活性物种的动态演化过程。针对这一科学问题，项目团队发展了基于从头算分子动力学的动态反应过程解析方法，将时间演化模拟与电子结构分析相结合，实现了复杂光催化界面中瞬态中间体的识别和反应路径追踪。通过构建真实催化界面模型，项目团队揭示了光催化析氧过程中含氧活性物种的动态形成过程，明确了传统静态模型难以捕获的关键中间体演化行为，发现了水分子活化、氧物种转化以及氧氧键形成过程中的动态调控规律。研究突破了传统主要依赖吸附能和热力学参数分析反应机制的局限，通过动态反应过程模拟识别关键中间体并解析反应路径，为复杂光催化反应机制研究提供了新的研究方法。相关成果发表于：Nature Commun.2024, 15, 10411；Angew. Chem. Int. Ed. 2023, 62, e202309066；Small 2025, 21, 2408286；J. Phys. Chem. Lett. 2025, 16, 10049等。</w:t>
      </w:r>
    </w:p>
    <w:p w14:paraId="1BF71313">
      <w:pPr>
        <w:spacing w:line="360" w:lineRule="auto"/>
        <w:ind w:firstLine="480" w:firstLineChars="200"/>
        <w:rPr>
          <w:rFonts w:hint="eastAsia" w:asciiTheme="minorEastAsia" w:hAnsiTheme="minorEastAsia" w:cstheme="minorEastAsia"/>
          <w:sz w:val="24"/>
          <w:szCs w:val="24"/>
        </w:rPr>
      </w:pPr>
      <w:r>
        <w:rPr>
          <w:rFonts w:hint="eastAsia" w:asciiTheme="minorEastAsia" w:hAnsiTheme="minorEastAsia" w:cstheme="minorEastAsia"/>
          <w:sz w:val="24"/>
          <w:szCs w:val="24"/>
        </w:rPr>
        <w:t>科学发现三：揭示复杂生物质分子选择性化学键活化与自由基演化机制，建立天然高分子光催化定向转化新理论。木质素作为自然界唯一可再生芳香族聚合物，其高值利用受到复杂结构中稳定C-C/C-O键难以选择性活化的限制。传统热催化过程容易诱导自由基随机重组和非选择性裂解，而光催化过程中活性物种如何识别特定化学键并控制反应路径仍缺乏深入认识。针对上述问题，项目团队建立了理论计算与实验验证相结合的研究体系，通过密度泛函理论计算、同位素示踪、原位光谱分析以及关键中间体捕获等方法，系统揭示了光生载流子诱导自由基形成、活性物种传递以及C-C/C-O键选择性断裂过程。研究发现，催化界面与芳香结构之间的电子耦合作用能够调控分子吸附构型，促进目标化学键选择性弱化；同时，关键自由基中间体的生成和演化决定了不同断键路径及产物选择性。基于上述认识，项目团队进一步研究了界面电子结构对自由基中间体形成和化学键断裂的影响，揭示了天然高分子光催化选择性转化的相关规律，为高值化学品的定向制备提供了理论依据。相关成果发表于：Angew. Chem. Int. Ed. 2024, 63, e202410382；ACS Catal. 2023, 13, 13941-13954；Chem. Eng. J. 2025, 523, 168291；Chem. Eng. Sci. 2026, 335, 124465等。</w:t>
      </w:r>
    </w:p>
    <w:p w14:paraId="70A36E81">
      <w:pPr>
        <w:spacing w:line="360" w:lineRule="auto"/>
        <w:ind w:firstLine="480" w:firstLineChars="200"/>
        <w:rPr>
          <w:rFonts w:hint="eastAsia" w:asciiTheme="minorEastAsia" w:hAnsiTheme="minorEastAsia" w:cstheme="minorEastAsia"/>
          <w:sz w:val="24"/>
          <w:szCs w:val="24"/>
        </w:rPr>
      </w:pPr>
      <w:r>
        <w:rPr>
          <w:rFonts w:hint="eastAsia" w:asciiTheme="minorEastAsia" w:hAnsiTheme="minorEastAsia" w:cstheme="minorEastAsia"/>
          <w:sz w:val="24"/>
          <w:szCs w:val="24"/>
        </w:rPr>
        <w:t>3、主要学术成果</w:t>
      </w:r>
    </w:p>
    <w:p w14:paraId="48D34A51">
      <w:pPr>
        <w:spacing w:line="360" w:lineRule="auto"/>
        <w:ind w:firstLine="480" w:firstLineChars="200"/>
        <w:rPr>
          <w:rFonts w:hint="eastAsia" w:asciiTheme="minorEastAsia" w:hAnsiTheme="minorEastAsia" w:cstheme="minorEastAsia"/>
          <w:sz w:val="24"/>
          <w:szCs w:val="24"/>
        </w:rPr>
      </w:pPr>
      <w:r>
        <w:rPr>
          <w:rFonts w:hint="eastAsia" w:asciiTheme="minorEastAsia" w:hAnsiTheme="minorEastAsia" w:cstheme="minorEastAsia"/>
          <w:sz w:val="24"/>
          <w:szCs w:val="24"/>
        </w:rPr>
        <w:t>项目团队围绕复杂光催化体系中的界面电子结构、反应中间体及选择性转化等基础科学问题开展了系统研究，揭示了界面电子结构对光生载流子迁移和反应过程的影响规律，阐明了关键反应中间体的形成及反应路径，为光催化材料的设计和反应机制研究提供了理论依据。项目实施期间，团队以第一作者或通讯作者发表SCI论文300余篇，其中包括Science、Nature Commun.、Angew. Chem. Int. Ed.等国际期刊论文，论文总被引3万余次；授权中国发明专利60余项；主持国家高层次人才项目（2项）、国自然基金联合基金重点项目（2项）、面上项目以及陕西省杰出青年科学基金等科研项目。项目成果受到国内外学术界广泛关注，研究成果被国内外同行引用并给予积极评价。近5年来项目第一完成人受邀在国内外学术会议作大会报告、主题报告和邀请报告30余次，项目团队受邀担任Green Chem. Eng.、《化工进展》、《过程工程学报》等国内外学术期刊副主编及编委等学术职务。</w:t>
      </w:r>
    </w:p>
    <w:p w14:paraId="6CD6DE37">
      <w:pPr>
        <w:pStyle w:val="11"/>
        <w:spacing w:before="0"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五、客观评价</w:t>
      </w:r>
    </w:p>
    <w:p w14:paraId="0A17C730">
      <w:pPr>
        <w:spacing w:line="360" w:lineRule="auto"/>
        <w:ind w:firstLine="480" w:firstLineChars="200"/>
        <w:rPr>
          <w:rFonts w:hint="eastAsia" w:asciiTheme="minorEastAsia" w:hAnsiTheme="minorEastAsia" w:cstheme="minorEastAsia"/>
          <w:sz w:val="24"/>
          <w:szCs w:val="24"/>
        </w:rPr>
      </w:pPr>
      <w:r>
        <w:rPr>
          <w:rFonts w:hint="eastAsia" w:asciiTheme="minorEastAsia" w:hAnsiTheme="minorEastAsia" w:cstheme="minorEastAsia"/>
          <w:sz w:val="24"/>
          <w:szCs w:val="24"/>
        </w:rPr>
        <w:t>（一）代表性研究成果受到国内外同行关注，形成了持续的学术影响</w:t>
      </w:r>
    </w:p>
    <w:p w14:paraId="4D4142CB">
      <w:pPr>
        <w:spacing w:line="360" w:lineRule="auto"/>
        <w:ind w:firstLine="480" w:firstLineChars="200"/>
        <w:rPr>
          <w:rFonts w:hint="eastAsia" w:asciiTheme="minorEastAsia" w:hAnsiTheme="minorEastAsia" w:cstheme="minorEastAsia"/>
          <w:sz w:val="24"/>
          <w:szCs w:val="24"/>
        </w:rPr>
      </w:pPr>
      <w:r>
        <w:rPr>
          <w:rFonts w:hint="eastAsia" w:asciiTheme="minorEastAsia" w:hAnsiTheme="minorEastAsia" w:cstheme="minorEastAsia"/>
          <w:sz w:val="24"/>
          <w:szCs w:val="24"/>
        </w:rPr>
        <w:t>项目团队围绕光反应界面电子结构调控与关键反应中间体形成机制的代表性成果发表于Angew. Chem. Int. Ed. 3篇、Adv. Mater. 1篇、Constr. Build. Mater. 1篇。截至目前，项目论文已被国内外同行引用3万余次，ESI高被引论文20篇。研究不仅被同行作为一般性文献引用，而且被国内外学者用于阐述光催化异质结、界面电荷行为、动态反应机制及木质素光催化解聚等领域的重要科学问题，多篇综述和研究论文将项目成果作为相关领域的代表性工作进行讨论。项目研究得到中国科学院院士李灿教授、加拿大皇家科学院/工程院院士Jiujun Zhang教授、意大利林琴国家科学院院士Gianfranco Pacchioni教授、加拿大工程院外籍院士邱学青教授、欧洲科学院外籍院士余家国教授等国内外同行的关注和引用。具体评价如下：</w:t>
      </w:r>
    </w:p>
    <w:p w14:paraId="5BAC5517">
      <w:pPr>
        <w:spacing w:line="360" w:lineRule="auto"/>
        <w:ind w:firstLine="480" w:firstLineChars="200"/>
        <w:rPr>
          <w:rFonts w:hint="eastAsia" w:asciiTheme="minorEastAsia" w:hAnsiTheme="minorEastAsia" w:cstheme="minorEastAsia"/>
          <w:sz w:val="24"/>
          <w:szCs w:val="24"/>
        </w:rPr>
      </w:pPr>
      <w:r>
        <w:rPr>
          <w:rFonts w:hint="eastAsia" w:asciiTheme="minorEastAsia" w:hAnsiTheme="minorEastAsia" w:cstheme="minorEastAsia"/>
          <w:sz w:val="24"/>
          <w:szCs w:val="24"/>
        </w:rPr>
        <w:t>（二）国内外同行将项目构筑的异质结及界面调控体系作为光催化材料设计的代表性工作，肯定了其在促进电荷分离和增强光催化性能方面的作用</w:t>
      </w:r>
    </w:p>
    <w:p w14:paraId="7D492A0B">
      <w:pPr>
        <w:spacing w:line="360" w:lineRule="auto"/>
        <w:ind w:firstLine="480" w:firstLineChars="200"/>
        <w:rPr>
          <w:rFonts w:hint="eastAsia" w:asciiTheme="minorEastAsia" w:hAnsiTheme="minorEastAsia" w:cstheme="minorEastAsia"/>
          <w:sz w:val="24"/>
          <w:szCs w:val="24"/>
        </w:rPr>
      </w:pPr>
      <w:r>
        <w:rPr>
          <w:rFonts w:hint="eastAsia" w:asciiTheme="minorEastAsia" w:hAnsiTheme="minorEastAsia" w:cstheme="minorEastAsia"/>
          <w:sz w:val="24"/>
          <w:szCs w:val="24"/>
        </w:rPr>
        <w:t>围绕光生载流子分离与界面电荷迁移，发展的配位聚合物原位衍生、多维异质组装及界面结构调控等方法，构筑的分级中空结构、异质结及具有特殊界面电子结构的光催化材料，受到国内外同行广泛关注：（1）欧洲科学院外籍院士、国家高层次人才、中国地质大学（武汉）余家国教授在Nature Rev. Chem.、Angew. Chem. Int. Ed.等论文中数次将项目构筑的体系作为S型异质结光催化材料的代表性研究进行讨论（代表性引文3，附件2-3-1）；（2）国家高层次人才、福建农林大学帅李教授在 Nature Commun.中引用项目结构设计，“有机分子与框架材料之间的结构构筑和界面形成有效连接”（代表性引文4）；（3）Chin. J. Catal.编委、华南农业大学李鑫教授在Angew. Chem. Int. Ed.研究中讨论S型异质结时，提出我们“构建的S型异质结有利于促进光生载流子的分离与传输并保持较强的氧化还原能力”（附件2-3-2）；（4）国家高层次人才、中科院金属所李峰研究员在Nat. Energy中将本项目工作作为石墨烯多孔材料构筑的典型案例，为多孔材料的结构设计提供了参考（代表性引文8）；（5）Chin. J. Catal.编委、武汉理工大学曹少文研究员在Chin. J. Catal.中专门介绍了项目团队发展的溶剂蒸发-沉积方法，并以项目构筑的p-CN/P-PDI S型异质结为典型案例，详细讨论了该方法实现半导体均匀负载及异质界面构筑的特点（附件2-3-3）；（6）马来西亚蒙纳士大学Siang-Piao Chai教授在Chem. Soc. Rev.中将项目催化体系的性能作为同类光催化反应的典型参照（代表性引文1）。</w:t>
      </w:r>
    </w:p>
    <w:p w14:paraId="7ADEEE44">
      <w:pPr>
        <w:spacing w:line="360" w:lineRule="auto"/>
        <w:ind w:firstLine="480" w:firstLineChars="200"/>
        <w:rPr>
          <w:rFonts w:hint="eastAsia" w:asciiTheme="minorEastAsia" w:hAnsiTheme="minorEastAsia" w:cstheme="minorEastAsia"/>
          <w:sz w:val="24"/>
          <w:szCs w:val="24"/>
        </w:rPr>
      </w:pPr>
      <w:r>
        <w:rPr>
          <w:rFonts w:hint="eastAsia" w:asciiTheme="minorEastAsia" w:hAnsiTheme="minorEastAsia" w:cstheme="minorEastAsia"/>
          <w:sz w:val="24"/>
          <w:szCs w:val="24"/>
        </w:rPr>
        <w:t>（三）国内外同行肯定了基于AIMD的动态反应路径解析方法，认为相关研究拓展了传统静态理论对复杂催化反应机制的认识</w:t>
      </w:r>
    </w:p>
    <w:p w14:paraId="556793B9">
      <w:pPr>
        <w:spacing w:line="360" w:lineRule="auto"/>
        <w:ind w:firstLine="480" w:firstLineChars="200"/>
        <w:rPr>
          <w:rFonts w:hint="eastAsia" w:asciiTheme="minorEastAsia" w:hAnsiTheme="minorEastAsia" w:cstheme="minorEastAsia"/>
          <w:sz w:val="24"/>
          <w:szCs w:val="24"/>
        </w:rPr>
      </w:pPr>
      <w:r>
        <w:rPr>
          <w:rFonts w:hint="eastAsia" w:asciiTheme="minorEastAsia" w:hAnsiTheme="minorEastAsia" w:cstheme="minorEastAsia"/>
          <w:sz w:val="24"/>
          <w:szCs w:val="24"/>
        </w:rPr>
        <w:t>项目团队建立的基于AIMD的动态反应路径解析方法与演化规律，受到国际同行的广泛关注，并被用于进一步讨论光催化析氧反应机理：（1）中国科学院院士、第三世界科学院院士、英国皇家学会院士李灿教授在研究中讨论析氧反应中*OH、*O和*OOH等关键中间体的动态转化，并指出研究提供了“理解氧析出中间体演化的重要依据”（附件2-3-4）；（2）国家高层次人才、山东大学刘宏教授在Angew. Chem. Int. Ed.的研究中引用项目成果，指出“项目成果DFT理论计算，为分析Fe2O3基光阳极中不同组分在析氧反应机制中的作用”的重要作用（附件2-3-5）；（3）国家级青年人才、钟俊教授在ACS Catal.中指出“项目团队识别了赤铁矿析氧过程中的关键反应中间体，并揭示了O2脱附对整体反应动力学可能产生的重要影响”，同时认为这些机理认识“为赤铁矿基光阳极的理性设计提供了重要指导”（附件2-3-6）；（4）阿联酋哈利法大学Adnan Ozden教授在Adv. Mater.中评述“该工作将DFT与NEB、AIMD及微观动力学等相结合的方法，将是未来估算真实反应势垒的重要方法”（附件2-3-7）。</w:t>
      </w:r>
    </w:p>
    <w:p w14:paraId="019B0524">
      <w:pPr>
        <w:spacing w:line="360" w:lineRule="auto"/>
        <w:ind w:firstLine="480" w:firstLineChars="200"/>
        <w:rPr>
          <w:rFonts w:hint="eastAsia" w:asciiTheme="minorEastAsia" w:hAnsiTheme="minorEastAsia" w:cstheme="minorEastAsia"/>
          <w:sz w:val="24"/>
          <w:szCs w:val="24"/>
        </w:rPr>
      </w:pPr>
      <w:r>
        <w:rPr>
          <w:rFonts w:hint="eastAsia" w:asciiTheme="minorEastAsia" w:hAnsiTheme="minorEastAsia" w:cstheme="minorEastAsia"/>
          <w:sz w:val="24"/>
          <w:szCs w:val="24"/>
        </w:rPr>
        <w:t>（四）国内外同行关注项目在木质素选择性光催化转化方面的研究，将其作为理解复杂生物质转化机制和评价催化性能的重要参考</w:t>
      </w:r>
    </w:p>
    <w:p w14:paraId="3320DCE4">
      <w:pPr>
        <w:spacing w:line="360" w:lineRule="auto"/>
        <w:ind w:firstLine="480" w:firstLineChars="200"/>
        <w:rPr>
          <w:rFonts w:hint="eastAsia" w:asciiTheme="minorEastAsia" w:hAnsiTheme="minorEastAsia" w:cstheme="minorEastAsia"/>
          <w:sz w:val="24"/>
          <w:szCs w:val="24"/>
        </w:rPr>
      </w:pPr>
      <w:r>
        <w:rPr>
          <w:rFonts w:hint="eastAsia" w:asciiTheme="minorEastAsia" w:hAnsiTheme="minorEastAsia" w:cstheme="minorEastAsia"/>
          <w:sz w:val="24"/>
          <w:szCs w:val="24"/>
        </w:rPr>
        <w:t>项目团队针对天然木质素结构复杂、C-C/C-O键选择性活化困难等问题，发展的异质界面调控、自由基中间体调控及分子尺度反应路径设计等方法，得到国内外木质素催化转化领域同行的广泛引用和评价：（1）加拿大国立科学研究院马东玲教授在Chem. Soc. Rev.中引用项目相关工作，并将其作为利用光催化方法活化和解聚木质素模型体系的研究案例进行讨论，认为“该工作为设计高效木质素活化和分解体系提供了新的思路”（代表性引文5）；（2）国家高层次人才、加拿大工程院外籍院士、广东工业大学邱学青教授在Angew. Chem. Int. Ed.和Adv. Funct. Mater.研究中引用项目工作，并从光催化木质素解聚的角度指出“光催化体系能够在温和条件下提供可控驱动力并实现特定木质素连接键的选择性转化，为发展可控木质素解聚催化体系提供了重要参考”（代表性引文2，附件2-3-8）；（3）国家高层次人才、中国科学院大连化物所王峰研究员在Nature Commun. 中将本项目工作作为木质素β-O-4结构一锅级联转化的典型案例（代表性引文6）；（4）新加坡国立大学Ning Yan教授在J. Am. Chem. Soc.中引用本项目工作，将其作为木质素高值转化制备芳香化学品的代表性研究之一（代表性引文7）。</w:t>
      </w:r>
    </w:p>
    <w:p w14:paraId="0EC6F41E">
      <w:pPr>
        <w:spacing w:line="360" w:lineRule="auto"/>
        <w:ind w:firstLine="480" w:firstLineChars="200"/>
        <w:rPr>
          <w:rFonts w:hint="eastAsia" w:asciiTheme="minorEastAsia" w:hAnsiTheme="minorEastAsia" w:cstheme="minorEastAsia"/>
          <w:sz w:val="24"/>
          <w:szCs w:val="24"/>
        </w:rPr>
      </w:pPr>
      <w:r>
        <w:rPr>
          <w:rFonts w:hint="eastAsia" w:asciiTheme="minorEastAsia" w:hAnsiTheme="minorEastAsia" w:cstheme="minorEastAsia"/>
          <w:sz w:val="24"/>
          <w:szCs w:val="24"/>
        </w:rPr>
        <w:t>此外，加拿大皇家科学院院士、加拿大工程院院士、中国工程院外籍院士张久俊教授（发表于Electrochem. Energy Rev.的综述，附件2-3-9）、意大利林琴国家科学院院士Gianfranco Pacchioni教授（发表于ACS Catal.，附件2-3-10）、澳大利亚科廷大学Shaomin Liu教授（发表于Angew. Chem. Int. Ed.，附件2-3-11）、国家高层次人才、西北大学王建元教授（发表于Adv. Mater.，附件2-3-12）、国家高层次人才、西安交通大学杨森教授（发表于Adv. Funct. Mater.，附件2-3-13）、德国拜罗伊特大学有机化学系主任Shoubhik Das教授（发表于J. Am. Chem. Soc.，附件2-3-14）等同行，均引用了项目成果。</w:t>
      </w:r>
    </w:p>
    <w:p w14:paraId="018FE759">
      <w:pPr>
        <w:spacing w:line="360" w:lineRule="auto"/>
        <w:ind w:firstLine="480" w:firstLineChars="200"/>
        <w:rPr>
          <w:rFonts w:hint="eastAsia" w:asciiTheme="minorEastAsia" w:hAnsiTheme="minorEastAsia" w:cstheme="minorEastAsia"/>
          <w:sz w:val="24"/>
          <w:szCs w:val="24"/>
        </w:rPr>
      </w:pPr>
      <w:r>
        <w:rPr>
          <w:rFonts w:hint="eastAsia" w:asciiTheme="minorEastAsia" w:hAnsiTheme="minorEastAsia" w:cstheme="minorEastAsia"/>
          <w:sz w:val="24"/>
          <w:szCs w:val="24"/>
        </w:rPr>
        <w:t>综上，项目研究已形成从光催化材料与异质界面构筑、界面电子结构调控，到动态反应机制解析和天然生物质选择性转化的系列成果，相关研究得到国内外同行持续关注，为光催化材料理性设计、复杂催化反应机制解析及生物质资源高值利用提供了有价值的科学参考。</w:t>
      </w:r>
    </w:p>
    <w:p w14:paraId="08AB0542">
      <w:pPr>
        <w:pStyle w:val="11"/>
        <w:spacing w:before="0"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六、应用情况</w:t>
      </w:r>
    </w:p>
    <w:p w14:paraId="23F56E7D">
      <w:pPr>
        <w:spacing w:line="360" w:lineRule="auto"/>
        <w:ind w:firstLine="480" w:firstLineChars="200"/>
        <w:rPr>
          <w:rFonts w:hint="eastAsia" w:asciiTheme="minorEastAsia" w:hAnsiTheme="minorEastAsia" w:cstheme="minorEastAsia"/>
          <w:sz w:val="24"/>
          <w:szCs w:val="24"/>
        </w:rPr>
      </w:pPr>
      <w:r>
        <w:rPr>
          <w:rFonts w:hint="eastAsia" w:asciiTheme="minorEastAsia" w:hAnsiTheme="minorEastAsia" w:cstheme="minorEastAsia"/>
          <w:sz w:val="24"/>
          <w:szCs w:val="24"/>
        </w:rPr>
        <w:t>项目形成的多尺度异质界面调控策略、从头算分子动力学动态反应路径解析方法和天然生物质选择性转化机制，已被国内外同行用于阐释光催化异质结、析氧中间体演化和木质素解聚等科学问题，并作为代表性研究持续引用。</w:t>
      </w:r>
    </w:p>
    <w:p w14:paraId="199C6CE8">
      <w:pPr>
        <w:spacing w:line="360" w:lineRule="auto"/>
        <w:ind w:firstLine="480" w:firstLineChars="200"/>
        <w:rPr>
          <w:rFonts w:hint="eastAsia" w:asciiTheme="minorEastAsia" w:hAnsiTheme="minorEastAsia" w:cstheme="minorEastAsia"/>
          <w:sz w:val="24"/>
          <w:szCs w:val="24"/>
        </w:rPr>
        <w:sectPr>
          <w:footerReference r:id="rId3" w:type="default"/>
          <w:pgSz w:w="11906" w:h="16838"/>
          <w:pgMar w:top="1440" w:right="1797" w:bottom="1440" w:left="1797" w:header="851" w:footer="992" w:gutter="0"/>
          <w:cols w:space="425" w:num="1"/>
          <w:docGrid w:type="linesAndChars" w:linePitch="312" w:charSpace="0"/>
        </w:sectPr>
      </w:pPr>
      <w:r>
        <w:rPr>
          <w:rFonts w:hint="eastAsia" w:asciiTheme="minorEastAsia" w:hAnsiTheme="minorEastAsia" w:cstheme="minorEastAsia"/>
          <w:sz w:val="24"/>
          <w:szCs w:val="24"/>
        </w:rPr>
        <w:t>截至申报材料统计，项目论文已被引用3万余次，ESI高被引论文20篇；近5年来第一完成人受邀作大会报告、主题报告和邀请报告30余次。</w:t>
      </w:r>
    </w:p>
    <w:p w14:paraId="210ABC4D">
      <w:pPr>
        <w:pStyle w:val="1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七、代表性论文专著目录</w:t>
      </w:r>
    </w:p>
    <w:p w14:paraId="33E69C68">
      <w:pPr>
        <w:rPr>
          <w:rFonts w:hint="eastAsia" w:asciiTheme="minorEastAsia" w:hAnsiTheme="minorEastAsia" w:cstheme="minorEastAsia"/>
        </w:rPr>
      </w:pPr>
    </w:p>
    <w:tbl>
      <w:tblPr>
        <w:tblStyle w:val="13"/>
        <w:tblW w:w="15541"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517"/>
        <w:gridCol w:w="850"/>
        <w:gridCol w:w="4812"/>
        <w:gridCol w:w="932"/>
        <w:gridCol w:w="2076"/>
        <w:gridCol w:w="992"/>
        <w:gridCol w:w="2410"/>
        <w:gridCol w:w="2952"/>
      </w:tblGrid>
      <w:tr w14:paraId="74021E4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blHeader/>
          <w:jc w:val="center"/>
        </w:trPr>
        <w:tc>
          <w:tcPr>
            <w:tcW w:w="517" w:type="dxa"/>
            <w:tcBorders>
              <w:top w:val="single" w:color="auto" w:sz="8" w:space="0"/>
              <w:left w:val="single" w:color="auto" w:sz="8" w:space="0"/>
              <w:bottom w:val="single" w:color="auto" w:sz="8" w:space="0"/>
              <w:right w:val="single" w:color="auto" w:sz="8" w:space="0"/>
            </w:tcBorders>
            <w:vAlign w:val="center"/>
          </w:tcPr>
          <w:p w14:paraId="310B11BB">
            <w:pPr>
              <w:pStyle w:val="6"/>
              <w:snapToGrid w:val="0"/>
              <w:spacing w:line="240" w:lineRule="auto"/>
              <w:ind w:firstLine="0" w:firstLineChars="0"/>
              <w:jc w:val="center"/>
              <w:rPr>
                <w:rFonts w:ascii="Times New Roman"/>
                <w:sz w:val="21"/>
                <w:szCs w:val="21"/>
              </w:rPr>
            </w:pPr>
            <w:r>
              <w:rPr>
                <w:rFonts w:ascii="Times New Roman"/>
                <w:b/>
                <w:bCs/>
                <w:sz w:val="21"/>
                <w:szCs w:val="21"/>
              </w:rPr>
              <w:t>序号</w:t>
            </w:r>
          </w:p>
        </w:tc>
        <w:tc>
          <w:tcPr>
            <w:tcW w:w="850" w:type="dxa"/>
            <w:tcBorders>
              <w:top w:val="single" w:color="auto" w:sz="8" w:space="0"/>
              <w:left w:val="single" w:color="auto" w:sz="8" w:space="0"/>
              <w:bottom w:val="single" w:color="auto" w:sz="8" w:space="0"/>
              <w:right w:val="single" w:color="auto" w:sz="8" w:space="0"/>
            </w:tcBorders>
            <w:vAlign w:val="center"/>
          </w:tcPr>
          <w:p w14:paraId="10B40582">
            <w:pPr>
              <w:pStyle w:val="6"/>
              <w:snapToGrid w:val="0"/>
              <w:spacing w:line="240" w:lineRule="auto"/>
              <w:ind w:firstLine="0" w:firstLineChars="0"/>
              <w:jc w:val="center"/>
              <w:rPr>
                <w:rFonts w:ascii="Times New Roman"/>
                <w:sz w:val="21"/>
                <w:szCs w:val="21"/>
              </w:rPr>
            </w:pPr>
            <w:r>
              <w:rPr>
                <w:rFonts w:ascii="Times New Roman"/>
                <w:b/>
                <w:bCs/>
                <w:sz w:val="21"/>
                <w:szCs w:val="21"/>
              </w:rPr>
              <w:t>成果类别</w:t>
            </w:r>
          </w:p>
        </w:tc>
        <w:tc>
          <w:tcPr>
            <w:tcW w:w="4812" w:type="dxa"/>
            <w:tcBorders>
              <w:top w:val="single" w:color="auto" w:sz="8" w:space="0"/>
              <w:left w:val="single" w:color="auto" w:sz="8" w:space="0"/>
              <w:bottom w:val="single" w:color="auto" w:sz="8" w:space="0"/>
              <w:right w:val="single" w:color="auto" w:sz="8" w:space="0"/>
            </w:tcBorders>
            <w:vAlign w:val="center"/>
          </w:tcPr>
          <w:p w14:paraId="65440625">
            <w:pPr>
              <w:pStyle w:val="6"/>
              <w:snapToGrid w:val="0"/>
              <w:spacing w:line="240" w:lineRule="auto"/>
              <w:ind w:firstLine="0" w:firstLineChars="0"/>
              <w:jc w:val="center"/>
              <w:rPr>
                <w:rFonts w:ascii="Times New Roman"/>
                <w:sz w:val="21"/>
                <w:szCs w:val="21"/>
              </w:rPr>
            </w:pPr>
            <w:r>
              <w:rPr>
                <w:rFonts w:ascii="Times New Roman"/>
                <w:b/>
                <w:bCs/>
                <w:sz w:val="21"/>
                <w:szCs w:val="21"/>
              </w:rPr>
              <w:t>成果具体名称</w:t>
            </w:r>
          </w:p>
        </w:tc>
        <w:tc>
          <w:tcPr>
            <w:tcW w:w="932" w:type="dxa"/>
            <w:tcBorders>
              <w:top w:val="single" w:color="auto" w:sz="8" w:space="0"/>
              <w:left w:val="single" w:color="auto" w:sz="8" w:space="0"/>
              <w:bottom w:val="single" w:color="auto" w:sz="8" w:space="0"/>
              <w:right w:val="single" w:color="auto" w:sz="8" w:space="0"/>
            </w:tcBorders>
            <w:vAlign w:val="center"/>
          </w:tcPr>
          <w:p w14:paraId="7DACA2F0">
            <w:pPr>
              <w:pStyle w:val="6"/>
              <w:snapToGrid w:val="0"/>
              <w:spacing w:line="240" w:lineRule="auto"/>
              <w:ind w:firstLine="0" w:firstLineChars="0"/>
              <w:jc w:val="center"/>
              <w:rPr>
                <w:rFonts w:ascii="Times New Roman"/>
                <w:sz w:val="21"/>
                <w:szCs w:val="21"/>
              </w:rPr>
            </w:pPr>
            <w:r>
              <w:rPr>
                <w:rFonts w:ascii="Times New Roman"/>
                <w:b/>
                <w:bCs/>
                <w:sz w:val="21"/>
                <w:szCs w:val="21"/>
              </w:rPr>
              <w:t>刊名</w:t>
            </w:r>
          </w:p>
        </w:tc>
        <w:tc>
          <w:tcPr>
            <w:tcW w:w="2076" w:type="dxa"/>
            <w:tcBorders>
              <w:top w:val="single" w:color="auto" w:sz="8" w:space="0"/>
              <w:left w:val="single" w:color="auto" w:sz="8" w:space="0"/>
              <w:bottom w:val="single" w:color="auto" w:sz="8" w:space="0"/>
              <w:right w:val="single" w:color="auto" w:sz="8" w:space="0"/>
            </w:tcBorders>
            <w:vAlign w:val="center"/>
          </w:tcPr>
          <w:p w14:paraId="62F3C7CC">
            <w:pPr>
              <w:pStyle w:val="6"/>
              <w:snapToGrid w:val="0"/>
              <w:spacing w:line="240" w:lineRule="auto"/>
              <w:ind w:firstLine="0" w:firstLineChars="0"/>
              <w:jc w:val="center"/>
              <w:rPr>
                <w:rFonts w:ascii="Times New Roman"/>
                <w:sz w:val="21"/>
                <w:szCs w:val="21"/>
              </w:rPr>
            </w:pPr>
            <w:r>
              <w:rPr>
                <w:rFonts w:ascii="Times New Roman"/>
                <w:b/>
                <w:bCs/>
                <w:sz w:val="21"/>
                <w:szCs w:val="21"/>
              </w:rPr>
              <w:t>卷期页码</w:t>
            </w:r>
          </w:p>
        </w:tc>
        <w:tc>
          <w:tcPr>
            <w:tcW w:w="992" w:type="dxa"/>
            <w:tcBorders>
              <w:top w:val="single" w:color="auto" w:sz="8" w:space="0"/>
              <w:left w:val="single" w:color="auto" w:sz="8" w:space="0"/>
              <w:bottom w:val="single" w:color="auto" w:sz="8" w:space="0"/>
              <w:right w:val="single" w:color="auto" w:sz="8" w:space="0"/>
            </w:tcBorders>
            <w:vAlign w:val="center"/>
          </w:tcPr>
          <w:p w14:paraId="3D44CBA1">
            <w:pPr>
              <w:pStyle w:val="6"/>
              <w:snapToGrid w:val="0"/>
              <w:spacing w:line="240" w:lineRule="auto"/>
              <w:ind w:firstLine="0" w:firstLineChars="0"/>
              <w:jc w:val="center"/>
              <w:rPr>
                <w:rFonts w:ascii="Times New Roman"/>
                <w:sz w:val="21"/>
                <w:szCs w:val="21"/>
              </w:rPr>
            </w:pPr>
            <w:r>
              <w:rPr>
                <w:rFonts w:ascii="Times New Roman"/>
                <w:b/>
                <w:bCs/>
                <w:sz w:val="21"/>
                <w:szCs w:val="21"/>
              </w:rPr>
              <w:t>发表日期</w:t>
            </w:r>
          </w:p>
        </w:tc>
        <w:tc>
          <w:tcPr>
            <w:tcW w:w="2410" w:type="dxa"/>
            <w:tcBorders>
              <w:top w:val="single" w:color="auto" w:sz="8" w:space="0"/>
              <w:left w:val="single" w:color="auto" w:sz="8" w:space="0"/>
              <w:bottom w:val="single" w:color="auto" w:sz="8" w:space="0"/>
              <w:right w:val="single" w:color="auto" w:sz="8" w:space="0"/>
            </w:tcBorders>
            <w:vAlign w:val="center"/>
          </w:tcPr>
          <w:p w14:paraId="1344B642">
            <w:pPr>
              <w:pStyle w:val="6"/>
              <w:snapToGrid w:val="0"/>
              <w:spacing w:line="240" w:lineRule="auto"/>
              <w:ind w:firstLine="0" w:firstLineChars="0"/>
              <w:jc w:val="center"/>
              <w:rPr>
                <w:rFonts w:ascii="Times New Roman"/>
                <w:sz w:val="21"/>
                <w:szCs w:val="21"/>
              </w:rPr>
            </w:pPr>
            <w:r>
              <w:rPr>
                <w:rFonts w:ascii="Times New Roman"/>
                <w:b/>
                <w:bCs/>
                <w:sz w:val="21"/>
                <w:szCs w:val="21"/>
              </w:rPr>
              <w:t>通讯/第一作者</w:t>
            </w:r>
          </w:p>
        </w:tc>
        <w:tc>
          <w:tcPr>
            <w:tcW w:w="2952" w:type="dxa"/>
            <w:tcBorders>
              <w:top w:val="single" w:color="auto" w:sz="8" w:space="0"/>
              <w:left w:val="single" w:color="auto" w:sz="8" w:space="0"/>
              <w:bottom w:val="single" w:color="auto" w:sz="8" w:space="0"/>
              <w:right w:val="single" w:color="auto" w:sz="8" w:space="0"/>
            </w:tcBorders>
            <w:vAlign w:val="center"/>
          </w:tcPr>
          <w:p w14:paraId="4E10C27D">
            <w:pPr>
              <w:pStyle w:val="6"/>
              <w:snapToGrid w:val="0"/>
              <w:spacing w:line="240" w:lineRule="auto"/>
              <w:ind w:firstLine="0" w:firstLineChars="0"/>
              <w:jc w:val="center"/>
              <w:rPr>
                <w:rFonts w:ascii="Times New Roman"/>
                <w:sz w:val="21"/>
                <w:szCs w:val="21"/>
              </w:rPr>
            </w:pPr>
            <w:r>
              <w:rPr>
                <w:rFonts w:ascii="Times New Roman"/>
                <w:b/>
                <w:bCs/>
                <w:sz w:val="21"/>
                <w:szCs w:val="21"/>
              </w:rPr>
              <w:t>国内作者</w:t>
            </w:r>
          </w:p>
        </w:tc>
      </w:tr>
      <w:tr w14:paraId="5690FF6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517" w:type="dxa"/>
            <w:tcBorders>
              <w:top w:val="single" w:color="auto" w:sz="8" w:space="0"/>
              <w:left w:val="single" w:color="auto" w:sz="8" w:space="0"/>
              <w:bottom w:val="single" w:color="auto" w:sz="8" w:space="0"/>
              <w:right w:val="single" w:color="auto" w:sz="8" w:space="0"/>
            </w:tcBorders>
            <w:vAlign w:val="center"/>
          </w:tcPr>
          <w:p w14:paraId="1051A1EE">
            <w:pPr>
              <w:pStyle w:val="6"/>
              <w:snapToGrid w:val="0"/>
              <w:spacing w:line="240" w:lineRule="auto"/>
              <w:ind w:firstLine="0" w:firstLineChars="0"/>
              <w:jc w:val="center"/>
              <w:rPr>
                <w:rFonts w:ascii="Times New Roman"/>
                <w:sz w:val="21"/>
                <w:szCs w:val="21"/>
              </w:rPr>
            </w:pPr>
            <w:r>
              <w:rPr>
                <w:rFonts w:hint="eastAsia" w:ascii="Times New Roman"/>
                <w:sz w:val="21"/>
                <w:szCs w:val="21"/>
              </w:rPr>
              <w:t>1</w:t>
            </w:r>
          </w:p>
        </w:tc>
        <w:tc>
          <w:tcPr>
            <w:tcW w:w="850" w:type="dxa"/>
            <w:tcBorders>
              <w:top w:val="single" w:color="auto" w:sz="8" w:space="0"/>
              <w:left w:val="single" w:color="auto" w:sz="8" w:space="0"/>
              <w:bottom w:val="single" w:color="auto" w:sz="8" w:space="0"/>
              <w:right w:val="single" w:color="auto" w:sz="8" w:space="0"/>
            </w:tcBorders>
            <w:vAlign w:val="center"/>
          </w:tcPr>
          <w:p w14:paraId="26BDEA39">
            <w:pPr>
              <w:pStyle w:val="6"/>
              <w:snapToGrid w:val="0"/>
              <w:spacing w:line="240" w:lineRule="auto"/>
              <w:ind w:firstLine="0" w:firstLineChars="0"/>
              <w:jc w:val="center"/>
              <w:rPr>
                <w:rFonts w:ascii="Times New Roman"/>
                <w:sz w:val="21"/>
                <w:szCs w:val="21"/>
              </w:rPr>
            </w:pPr>
            <w:r>
              <w:rPr>
                <w:rFonts w:ascii="Times New Roman"/>
                <w:sz w:val="21"/>
                <w:szCs w:val="21"/>
              </w:rPr>
              <w:t>论文</w:t>
            </w:r>
          </w:p>
        </w:tc>
        <w:tc>
          <w:tcPr>
            <w:tcW w:w="4812" w:type="dxa"/>
            <w:tcBorders>
              <w:top w:val="single" w:color="auto" w:sz="8" w:space="0"/>
              <w:left w:val="single" w:color="auto" w:sz="8" w:space="0"/>
              <w:bottom w:val="single" w:color="auto" w:sz="8" w:space="0"/>
              <w:right w:val="single" w:color="auto" w:sz="8" w:space="0"/>
            </w:tcBorders>
            <w:vAlign w:val="center"/>
          </w:tcPr>
          <w:p w14:paraId="5ECF607A">
            <w:pPr>
              <w:pStyle w:val="6"/>
              <w:snapToGrid w:val="0"/>
              <w:spacing w:line="240" w:lineRule="auto"/>
              <w:ind w:firstLine="0" w:firstLineChars="0"/>
              <w:rPr>
                <w:rFonts w:ascii="Times New Roman"/>
                <w:sz w:val="21"/>
                <w:szCs w:val="21"/>
              </w:rPr>
            </w:pPr>
            <w:r>
              <w:rPr>
                <w:rFonts w:ascii="Times New Roman"/>
                <w:sz w:val="21"/>
                <w:szCs w:val="21"/>
              </w:rPr>
              <w:t>Hierarchical hollow zinc oxide nanocomposites derived from morphology-tunable coordination polymers for enhanced solar hydrogen production</w:t>
            </w:r>
          </w:p>
        </w:tc>
        <w:tc>
          <w:tcPr>
            <w:tcW w:w="932" w:type="dxa"/>
            <w:tcBorders>
              <w:top w:val="single" w:color="auto" w:sz="8" w:space="0"/>
              <w:left w:val="single" w:color="auto" w:sz="8" w:space="0"/>
              <w:bottom w:val="single" w:color="auto" w:sz="8" w:space="0"/>
              <w:right w:val="single" w:color="auto" w:sz="8" w:space="0"/>
            </w:tcBorders>
            <w:vAlign w:val="center"/>
          </w:tcPr>
          <w:p w14:paraId="54B50501">
            <w:pPr>
              <w:pStyle w:val="6"/>
              <w:snapToGrid w:val="0"/>
              <w:spacing w:line="240" w:lineRule="auto"/>
              <w:ind w:firstLine="0" w:firstLineChars="0"/>
              <w:rPr>
                <w:rFonts w:ascii="Times New Roman"/>
                <w:sz w:val="21"/>
                <w:szCs w:val="21"/>
              </w:rPr>
            </w:pPr>
            <w:r>
              <w:rPr>
                <w:rFonts w:ascii="Times New Roman"/>
                <w:sz w:val="21"/>
                <w:szCs w:val="21"/>
              </w:rPr>
              <w:t>Angew. Chem. Int. Ed.</w:t>
            </w:r>
          </w:p>
        </w:tc>
        <w:tc>
          <w:tcPr>
            <w:tcW w:w="2076" w:type="dxa"/>
            <w:tcBorders>
              <w:top w:val="single" w:color="auto" w:sz="8" w:space="0"/>
              <w:left w:val="single" w:color="auto" w:sz="8" w:space="0"/>
              <w:bottom w:val="single" w:color="auto" w:sz="8" w:space="0"/>
              <w:right w:val="single" w:color="auto" w:sz="8" w:space="0"/>
            </w:tcBorders>
            <w:vAlign w:val="center"/>
          </w:tcPr>
          <w:p w14:paraId="3F8DEBA7">
            <w:pPr>
              <w:pStyle w:val="6"/>
              <w:snapToGrid w:val="0"/>
              <w:spacing w:line="240" w:lineRule="auto"/>
              <w:ind w:firstLine="0" w:firstLineChars="0"/>
              <w:jc w:val="center"/>
              <w:rPr>
                <w:rFonts w:ascii="Times New Roman"/>
                <w:sz w:val="21"/>
                <w:szCs w:val="21"/>
              </w:rPr>
            </w:pPr>
            <w:r>
              <w:rPr>
                <w:rFonts w:ascii="Times New Roman"/>
                <w:sz w:val="21"/>
                <w:szCs w:val="21"/>
              </w:rPr>
              <w:t>2022年</w:t>
            </w:r>
            <w:r>
              <w:rPr>
                <w:rFonts w:ascii="Times New Roman"/>
                <w:sz w:val="21"/>
                <w:szCs w:val="21"/>
              </w:rPr>
              <w:br w:type="textWrapping"/>
            </w:r>
            <w:r>
              <w:rPr>
                <w:rFonts w:ascii="Times New Roman"/>
                <w:sz w:val="21"/>
                <w:szCs w:val="21"/>
              </w:rPr>
              <w:t>61卷</w:t>
            </w:r>
            <w:r>
              <w:rPr>
                <w:rFonts w:ascii="Times New Roman"/>
                <w:sz w:val="21"/>
                <w:szCs w:val="21"/>
              </w:rPr>
              <w:br w:type="textWrapping"/>
            </w:r>
            <w:r>
              <w:rPr>
                <w:rFonts w:ascii="Times New Roman"/>
                <w:sz w:val="21"/>
                <w:szCs w:val="21"/>
              </w:rPr>
              <w:t>e202205312页</w:t>
            </w:r>
          </w:p>
        </w:tc>
        <w:tc>
          <w:tcPr>
            <w:tcW w:w="992" w:type="dxa"/>
            <w:tcBorders>
              <w:top w:val="single" w:color="auto" w:sz="8" w:space="0"/>
              <w:left w:val="single" w:color="auto" w:sz="8" w:space="0"/>
              <w:bottom w:val="single" w:color="auto" w:sz="8" w:space="0"/>
              <w:right w:val="single" w:color="auto" w:sz="8" w:space="0"/>
            </w:tcBorders>
            <w:vAlign w:val="center"/>
          </w:tcPr>
          <w:p w14:paraId="42963BE9">
            <w:pPr>
              <w:pStyle w:val="6"/>
              <w:snapToGrid w:val="0"/>
              <w:spacing w:line="240" w:lineRule="auto"/>
              <w:ind w:firstLine="0" w:firstLineChars="0"/>
              <w:jc w:val="center"/>
              <w:rPr>
                <w:rFonts w:ascii="Times New Roman"/>
                <w:sz w:val="21"/>
                <w:szCs w:val="21"/>
              </w:rPr>
            </w:pPr>
            <w:r>
              <w:rPr>
                <w:rFonts w:ascii="Times New Roman"/>
                <w:sz w:val="21"/>
                <w:szCs w:val="21"/>
              </w:rPr>
              <w:t>2022年05月06日</w:t>
            </w:r>
          </w:p>
        </w:tc>
        <w:tc>
          <w:tcPr>
            <w:tcW w:w="2410" w:type="dxa"/>
            <w:tcBorders>
              <w:top w:val="single" w:color="auto" w:sz="8" w:space="0"/>
              <w:left w:val="single" w:color="auto" w:sz="8" w:space="0"/>
              <w:bottom w:val="single" w:color="auto" w:sz="8" w:space="0"/>
              <w:right w:val="single" w:color="auto" w:sz="8" w:space="0"/>
            </w:tcBorders>
            <w:vAlign w:val="center"/>
          </w:tcPr>
          <w:p w14:paraId="1885361C">
            <w:pPr>
              <w:pStyle w:val="6"/>
              <w:snapToGrid w:val="0"/>
              <w:spacing w:line="240" w:lineRule="auto"/>
              <w:ind w:firstLine="0" w:firstLineChars="0"/>
              <w:jc w:val="center"/>
              <w:rPr>
                <w:rFonts w:ascii="Times New Roman"/>
                <w:sz w:val="21"/>
                <w:szCs w:val="21"/>
              </w:rPr>
            </w:pPr>
            <w:r>
              <w:rPr>
                <w:rFonts w:ascii="Times New Roman"/>
                <w:sz w:val="21"/>
                <w:szCs w:val="21"/>
              </w:rPr>
              <w:t>通讯：Yuliang Li; Yanlin Qin；第一：Qi Zhu; Shuai Xu</w:t>
            </w:r>
          </w:p>
        </w:tc>
        <w:tc>
          <w:tcPr>
            <w:tcW w:w="2952" w:type="dxa"/>
            <w:tcBorders>
              <w:top w:val="single" w:color="auto" w:sz="8" w:space="0"/>
              <w:left w:val="single" w:color="auto" w:sz="8" w:space="0"/>
              <w:bottom w:val="single" w:color="auto" w:sz="8" w:space="0"/>
              <w:right w:val="single" w:color="auto" w:sz="8" w:space="0"/>
            </w:tcBorders>
            <w:vAlign w:val="center"/>
          </w:tcPr>
          <w:p w14:paraId="49798931">
            <w:pPr>
              <w:pStyle w:val="6"/>
              <w:snapToGrid w:val="0"/>
              <w:spacing w:line="240" w:lineRule="auto"/>
              <w:ind w:firstLine="0" w:firstLineChars="0"/>
              <w:rPr>
                <w:rFonts w:ascii="Times New Roman"/>
                <w:sz w:val="21"/>
                <w:szCs w:val="21"/>
              </w:rPr>
            </w:pPr>
            <w:r>
              <w:rPr>
                <w:rFonts w:ascii="Times New Roman"/>
                <w:sz w:val="21"/>
                <w:szCs w:val="21"/>
              </w:rPr>
              <w:t>朱棋；徐帅；武卫东；漆毅；林展；李宇亮；秦延林</w:t>
            </w:r>
          </w:p>
        </w:tc>
      </w:tr>
      <w:tr w14:paraId="493ED94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517" w:type="dxa"/>
            <w:tcBorders>
              <w:top w:val="single" w:color="auto" w:sz="8" w:space="0"/>
              <w:left w:val="single" w:color="auto" w:sz="8" w:space="0"/>
              <w:bottom w:val="single" w:color="auto" w:sz="8" w:space="0"/>
              <w:right w:val="single" w:color="auto" w:sz="8" w:space="0"/>
            </w:tcBorders>
            <w:vAlign w:val="center"/>
          </w:tcPr>
          <w:p w14:paraId="13A3141F">
            <w:pPr>
              <w:pStyle w:val="6"/>
              <w:snapToGrid w:val="0"/>
              <w:spacing w:line="240" w:lineRule="auto"/>
              <w:ind w:firstLine="0" w:firstLineChars="0"/>
              <w:jc w:val="center"/>
              <w:rPr>
                <w:rFonts w:ascii="Times New Roman"/>
                <w:sz w:val="21"/>
                <w:szCs w:val="21"/>
              </w:rPr>
            </w:pPr>
            <w:r>
              <w:rPr>
                <w:rFonts w:hint="eastAsia" w:ascii="Times New Roman"/>
                <w:sz w:val="21"/>
                <w:szCs w:val="21"/>
              </w:rPr>
              <w:t>2</w:t>
            </w:r>
          </w:p>
        </w:tc>
        <w:tc>
          <w:tcPr>
            <w:tcW w:w="850" w:type="dxa"/>
            <w:tcBorders>
              <w:top w:val="single" w:color="auto" w:sz="8" w:space="0"/>
              <w:left w:val="single" w:color="auto" w:sz="8" w:space="0"/>
              <w:bottom w:val="single" w:color="auto" w:sz="8" w:space="0"/>
              <w:right w:val="single" w:color="auto" w:sz="8" w:space="0"/>
            </w:tcBorders>
            <w:vAlign w:val="center"/>
          </w:tcPr>
          <w:p w14:paraId="7247ACD8">
            <w:pPr>
              <w:pStyle w:val="6"/>
              <w:snapToGrid w:val="0"/>
              <w:spacing w:line="240" w:lineRule="auto"/>
              <w:ind w:firstLine="0" w:firstLineChars="0"/>
              <w:jc w:val="center"/>
              <w:rPr>
                <w:rFonts w:ascii="Times New Roman"/>
                <w:sz w:val="21"/>
                <w:szCs w:val="21"/>
              </w:rPr>
            </w:pPr>
            <w:r>
              <w:rPr>
                <w:rFonts w:ascii="Times New Roman"/>
                <w:sz w:val="21"/>
                <w:szCs w:val="21"/>
              </w:rPr>
              <w:t>论文</w:t>
            </w:r>
          </w:p>
        </w:tc>
        <w:tc>
          <w:tcPr>
            <w:tcW w:w="4812" w:type="dxa"/>
            <w:tcBorders>
              <w:top w:val="single" w:color="auto" w:sz="8" w:space="0"/>
              <w:left w:val="single" w:color="auto" w:sz="8" w:space="0"/>
              <w:bottom w:val="single" w:color="auto" w:sz="8" w:space="0"/>
              <w:right w:val="single" w:color="auto" w:sz="8" w:space="0"/>
            </w:tcBorders>
            <w:vAlign w:val="center"/>
          </w:tcPr>
          <w:p w14:paraId="42BED487">
            <w:pPr>
              <w:pStyle w:val="6"/>
              <w:snapToGrid w:val="0"/>
              <w:spacing w:line="240" w:lineRule="auto"/>
              <w:ind w:firstLine="0" w:firstLineChars="0"/>
              <w:rPr>
                <w:rFonts w:ascii="Times New Roman"/>
                <w:sz w:val="21"/>
                <w:szCs w:val="21"/>
              </w:rPr>
            </w:pPr>
            <w:r>
              <w:rPr>
                <w:rFonts w:hint="eastAsia" w:ascii="Times New Roman"/>
                <w:sz w:val="21"/>
                <w:szCs w:val="21"/>
              </w:rPr>
              <w:t>Efficient photocatalytic cleavage of lignin models by a soluble perylene diimide/carbon nitride S‐scheme heterojunction</w:t>
            </w:r>
          </w:p>
        </w:tc>
        <w:tc>
          <w:tcPr>
            <w:tcW w:w="932" w:type="dxa"/>
            <w:tcBorders>
              <w:top w:val="single" w:color="auto" w:sz="8" w:space="0"/>
              <w:left w:val="single" w:color="auto" w:sz="8" w:space="0"/>
              <w:bottom w:val="single" w:color="auto" w:sz="8" w:space="0"/>
              <w:right w:val="single" w:color="auto" w:sz="8" w:space="0"/>
            </w:tcBorders>
            <w:vAlign w:val="center"/>
          </w:tcPr>
          <w:p w14:paraId="2DEC14D6">
            <w:pPr>
              <w:pStyle w:val="6"/>
              <w:snapToGrid w:val="0"/>
              <w:spacing w:line="240" w:lineRule="auto"/>
              <w:ind w:firstLine="0" w:firstLineChars="0"/>
              <w:rPr>
                <w:rFonts w:ascii="Times New Roman"/>
                <w:sz w:val="21"/>
                <w:szCs w:val="21"/>
              </w:rPr>
            </w:pPr>
            <w:r>
              <w:rPr>
                <w:rFonts w:ascii="Times New Roman"/>
                <w:sz w:val="21"/>
                <w:szCs w:val="21"/>
              </w:rPr>
              <w:t>Angew. Chem. Int. Ed.</w:t>
            </w:r>
          </w:p>
        </w:tc>
        <w:tc>
          <w:tcPr>
            <w:tcW w:w="2076" w:type="dxa"/>
            <w:tcBorders>
              <w:top w:val="single" w:color="auto" w:sz="8" w:space="0"/>
              <w:left w:val="single" w:color="auto" w:sz="8" w:space="0"/>
              <w:bottom w:val="single" w:color="auto" w:sz="8" w:space="0"/>
              <w:right w:val="single" w:color="auto" w:sz="8" w:space="0"/>
            </w:tcBorders>
            <w:vAlign w:val="center"/>
          </w:tcPr>
          <w:p w14:paraId="54E82EC2">
            <w:pPr>
              <w:pStyle w:val="6"/>
              <w:snapToGrid w:val="0"/>
              <w:spacing w:line="240" w:lineRule="auto"/>
              <w:ind w:firstLine="0" w:firstLineChars="0"/>
              <w:jc w:val="center"/>
              <w:rPr>
                <w:rFonts w:ascii="Times New Roman"/>
                <w:sz w:val="21"/>
                <w:szCs w:val="21"/>
              </w:rPr>
            </w:pPr>
            <w:r>
              <w:rPr>
                <w:rFonts w:ascii="Times New Roman"/>
                <w:sz w:val="21"/>
                <w:szCs w:val="21"/>
              </w:rPr>
              <w:t>2023年</w:t>
            </w:r>
            <w:r>
              <w:rPr>
                <w:rFonts w:ascii="Times New Roman"/>
                <w:sz w:val="21"/>
                <w:szCs w:val="21"/>
              </w:rPr>
              <w:br w:type="textWrapping"/>
            </w:r>
            <w:r>
              <w:rPr>
                <w:rFonts w:ascii="Times New Roman"/>
                <w:sz w:val="21"/>
                <w:szCs w:val="21"/>
              </w:rPr>
              <w:t>62卷</w:t>
            </w:r>
            <w:r>
              <w:rPr>
                <w:rFonts w:ascii="Times New Roman"/>
                <w:sz w:val="21"/>
                <w:szCs w:val="21"/>
              </w:rPr>
              <w:br w:type="textWrapping"/>
            </w:r>
            <w:r>
              <w:rPr>
                <w:rFonts w:ascii="Times New Roman"/>
                <w:sz w:val="21"/>
                <w:szCs w:val="21"/>
              </w:rPr>
              <w:t>e202309066页</w:t>
            </w:r>
          </w:p>
        </w:tc>
        <w:tc>
          <w:tcPr>
            <w:tcW w:w="992" w:type="dxa"/>
            <w:tcBorders>
              <w:top w:val="single" w:color="auto" w:sz="8" w:space="0"/>
              <w:left w:val="single" w:color="auto" w:sz="8" w:space="0"/>
              <w:bottom w:val="single" w:color="auto" w:sz="8" w:space="0"/>
              <w:right w:val="single" w:color="auto" w:sz="8" w:space="0"/>
            </w:tcBorders>
            <w:vAlign w:val="center"/>
          </w:tcPr>
          <w:p w14:paraId="6A569A39">
            <w:pPr>
              <w:pStyle w:val="6"/>
              <w:snapToGrid w:val="0"/>
              <w:spacing w:line="240" w:lineRule="auto"/>
              <w:ind w:firstLine="0" w:firstLineChars="0"/>
              <w:jc w:val="center"/>
              <w:rPr>
                <w:rFonts w:ascii="Times New Roman"/>
                <w:sz w:val="21"/>
                <w:szCs w:val="21"/>
              </w:rPr>
            </w:pPr>
            <w:r>
              <w:rPr>
                <w:rFonts w:hint="eastAsia" w:ascii="Times New Roman"/>
                <w:sz w:val="21"/>
                <w:szCs w:val="21"/>
              </w:rPr>
              <w:t>2023年09月07日</w:t>
            </w:r>
          </w:p>
        </w:tc>
        <w:tc>
          <w:tcPr>
            <w:tcW w:w="2410" w:type="dxa"/>
            <w:tcBorders>
              <w:top w:val="single" w:color="auto" w:sz="8" w:space="0"/>
              <w:left w:val="single" w:color="auto" w:sz="8" w:space="0"/>
              <w:bottom w:val="single" w:color="auto" w:sz="8" w:space="0"/>
              <w:right w:val="single" w:color="auto" w:sz="8" w:space="0"/>
            </w:tcBorders>
            <w:vAlign w:val="center"/>
          </w:tcPr>
          <w:p w14:paraId="17675D11">
            <w:pPr>
              <w:pStyle w:val="6"/>
              <w:snapToGrid w:val="0"/>
              <w:spacing w:line="240" w:lineRule="auto"/>
              <w:ind w:firstLine="0" w:firstLineChars="0"/>
              <w:jc w:val="center"/>
              <w:rPr>
                <w:rFonts w:ascii="Times New Roman"/>
                <w:sz w:val="21"/>
                <w:szCs w:val="21"/>
              </w:rPr>
            </w:pPr>
            <w:r>
              <w:rPr>
                <w:rFonts w:hint="eastAsia" w:ascii="Times New Roman"/>
                <w:sz w:val="21"/>
                <w:szCs w:val="21"/>
              </w:rPr>
              <w:t>通讯：Yuliang Li；第一：Xiaotong Xu; Shuqi Dai</w:t>
            </w:r>
          </w:p>
        </w:tc>
        <w:tc>
          <w:tcPr>
            <w:tcW w:w="2952" w:type="dxa"/>
            <w:tcBorders>
              <w:top w:val="single" w:color="auto" w:sz="8" w:space="0"/>
              <w:left w:val="single" w:color="auto" w:sz="8" w:space="0"/>
              <w:bottom w:val="single" w:color="auto" w:sz="8" w:space="0"/>
              <w:right w:val="single" w:color="auto" w:sz="8" w:space="0"/>
            </w:tcBorders>
            <w:vAlign w:val="center"/>
          </w:tcPr>
          <w:p w14:paraId="736A1F47">
            <w:pPr>
              <w:pStyle w:val="6"/>
              <w:snapToGrid w:val="0"/>
              <w:spacing w:line="240" w:lineRule="auto"/>
              <w:ind w:firstLine="0" w:firstLineChars="0"/>
              <w:rPr>
                <w:rFonts w:ascii="Times New Roman"/>
                <w:sz w:val="21"/>
                <w:szCs w:val="21"/>
              </w:rPr>
            </w:pPr>
            <w:r>
              <w:rPr>
                <w:rFonts w:hint="eastAsia" w:ascii="Times New Roman"/>
                <w:sz w:val="21"/>
                <w:szCs w:val="21"/>
              </w:rPr>
              <w:t>徐晓彤；戴书琪；徐帅；朱棋；李宇亮</w:t>
            </w:r>
          </w:p>
        </w:tc>
      </w:tr>
      <w:tr w14:paraId="1C125C3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517" w:type="dxa"/>
            <w:tcBorders>
              <w:top w:val="single" w:color="auto" w:sz="8" w:space="0"/>
              <w:left w:val="single" w:color="auto" w:sz="8" w:space="0"/>
              <w:bottom w:val="single" w:color="auto" w:sz="8" w:space="0"/>
              <w:right w:val="single" w:color="auto" w:sz="8" w:space="0"/>
            </w:tcBorders>
            <w:vAlign w:val="center"/>
          </w:tcPr>
          <w:p w14:paraId="0B228DFB">
            <w:pPr>
              <w:pStyle w:val="6"/>
              <w:snapToGrid w:val="0"/>
              <w:spacing w:line="240" w:lineRule="auto"/>
              <w:ind w:firstLine="0" w:firstLineChars="0"/>
              <w:jc w:val="center"/>
              <w:rPr>
                <w:rFonts w:ascii="Times New Roman"/>
                <w:sz w:val="21"/>
                <w:szCs w:val="21"/>
              </w:rPr>
            </w:pPr>
            <w:r>
              <w:rPr>
                <w:rFonts w:hint="eastAsia" w:ascii="Times New Roman"/>
                <w:sz w:val="21"/>
                <w:szCs w:val="21"/>
              </w:rPr>
              <w:t>3</w:t>
            </w:r>
          </w:p>
        </w:tc>
        <w:tc>
          <w:tcPr>
            <w:tcW w:w="850" w:type="dxa"/>
            <w:tcBorders>
              <w:top w:val="single" w:color="auto" w:sz="8" w:space="0"/>
              <w:left w:val="single" w:color="auto" w:sz="8" w:space="0"/>
              <w:bottom w:val="single" w:color="auto" w:sz="8" w:space="0"/>
              <w:right w:val="single" w:color="auto" w:sz="8" w:space="0"/>
            </w:tcBorders>
            <w:vAlign w:val="center"/>
          </w:tcPr>
          <w:p w14:paraId="47AD7C19">
            <w:pPr>
              <w:pStyle w:val="6"/>
              <w:snapToGrid w:val="0"/>
              <w:spacing w:line="240" w:lineRule="auto"/>
              <w:ind w:firstLine="0" w:firstLineChars="0"/>
              <w:jc w:val="center"/>
              <w:rPr>
                <w:rFonts w:ascii="Times New Roman"/>
                <w:sz w:val="21"/>
                <w:szCs w:val="21"/>
              </w:rPr>
            </w:pPr>
            <w:r>
              <w:rPr>
                <w:rFonts w:ascii="Times New Roman"/>
                <w:sz w:val="21"/>
                <w:szCs w:val="21"/>
              </w:rPr>
              <w:t>论文</w:t>
            </w:r>
          </w:p>
        </w:tc>
        <w:tc>
          <w:tcPr>
            <w:tcW w:w="4812" w:type="dxa"/>
            <w:tcBorders>
              <w:top w:val="single" w:color="auto" w:sz="8" w:space="0"/>
              <w:left w:val="single" w:color="auto" w:sz="8" w:space="0"/>
              <w:bottom w:val="single" w:color="auto" w:sz="8" w:space="0"/>
              <w:right w:val="single" w:color="auto" w:sz="8" w:space="0"/>
            </w:tcBorders>
            <w:vAlign w:val="center"/>
          </w:tcPr>
          <w:p w14:paraId="657EA179">
            <w:pPr>
              <w:pStyle w:val="6"/>
              <w:snapToGrid w:val="0"/>
              <w:spacing w:line="240" w:lineRule="auto"/>
              <w:ind w:firstLine="0" w:firstLineChars="0"/>
              <w:rPr>
                <w:rFonts w:ascii="Times New Roman"/>
                <w:sz w:val="21"/>
                <w:szCs w:val="21"/>
              </w:rPr>
            </w:pPr>
            <w:r>
              <w:rPr>
                <w:rFonts w:ascii="Times New Roman"/>
                <w:sz w:val="21"/>
                <w:szCs w:val="21"/>
              </w:rPr>
              <w:t>One-pot catalytic cascade for the depolym</w:t>
            </w:r>
            <w:bookmarkStart w:id="0" w:name="_GoBack"/>
            <w:bookmarkEnd w:id="0"/>
            <w:r>
              <w:rPr>
                <w:rFonts w:ascii="Times New Roman"/>
                <w:sz w:val="21"/>
                <w:szCs w:val="21"/>
              </w:rPr>
              <w:t>erization of the lignin β-O-4 motif to non-phenolic dealkylated aromatics</w:t>
            </w:r>
          </w:p>
        </w:tc>
        <w:tc>
          <w:tcPr>
            <w:tcW w:w="932" w:type="dxa"/>
            <w:tcBorders>
              <w:top w:val="single" w:color="auto" w:sz="8" w:space="0"/>
              <w:left w:val="single" w:color="auto" w:sz="8" w:space="0"/>
              <w:bottom w:val="single" w:color="auto" w:sz="8" w:space="0"/>
              <w:right w:val="single" w:color="auto" w:sz="8" w:space="0"/>
            </w:tcBorders>
            <w:vAlign w:val="center"/>
          </w:tcPr>
          <w:p w14:paraId="4605895B">
            <w:pPr>
              <w:pStyle w:val="6"/>
              <w:snapToGrid w:val="0"/>
              <w:spacing w:line="240" w:lineRule="auto"/>
              <w:ind w:firstLine="0" w:firstLineChars="0"/>
              <w:rPr>
                <w:rFonts w:ascii="Times New Roman"/>
                <w:sz w:val="21"/>
                <w:szCs w:val="21"/>
              </w:rPr>
            </w:pPr>
            <w:r>
              <w:rPr>
                <w:rFonts w:ascii="Times New Roman"/>
                <w:sz w:val="21"/>
                <w:szCs w:val="21"/>
              </w:rPr>
              <w:t>Angew. Chem. Int. Ed.</w:t>
            </w:r>
          </w:p>
        </w:tc>
        <w:tc>
          <w:tcPr>
            <w:tcW w:w="2076" w:type="dxa"/>
            <w:tcBorders>
              <w:top w:val="single" w:color="auto" w:sz="8" w:space="0"/>
              <w:left w:val="single" w:color="auto" w:sz="8" w:space="0"/>
              <w:bottom w:val="single" w:color="auto" w:sz="8" w:space="0"/>
              <w:right w:val="single" w:color="auto" w:sz="8" w:space="0"/>
            </w:tcBorders>
            <w:vAlign w:val="center"/>
          </w:tcPr>
          <w:p w14:paraId="5D733F33">
            <w:pPr>
              <w:pStyle w:val="6"/>
              <w:snapToGrid w:val="0"/>
              <w:spacing w:line="240" w:lineRule="auto"/>
              <w:ind w:firstLine="0" w:firstLineChars="0"/>
              <w:jc w:val="center"/>
              <w:rPr>
                <w:rFonts w:ascii="Times New Roman"/>
                <w:sz w:val="21"/>
                <w:szCs w:val="21"/>
              </w:rPr>
            </w:pPr>
            <w:r>
              <w:rPr>
                <w:rFonts w:ascii="Times New Roman"/>
                <w:sz w:val="21"/>
                <w:szCs w:val="21"/>
              </w:rPr>
              <w:t>2024年</w:t>
            </w:r>
            <w:r>
              <w:rPr>
                <w:rFonts w:ascii="Times New Roman"/>
                <w:sz w:val="21"/>
                <w:szCs w:val="21"/>
              </w:rPr>
              <w:br w:type="textWrapping"/>
            </w:r>
            <w:r>
              <w:rPr>
                <w:rFonts w:ascii="Times New Roman"/>
                <w:sz w:val="21"/>
                <w:szCs w:val="21"/>
              </w:rPr>
              <w:t>63卷</w:t>
            </w:r>
            <w:r>
              <w:rPr>
                <w:rFonts w:ascii="Times New Roman"/>
                <w:sz w:val="21"/>
                <w:szCs w:val="21"/>
              </w:rPr>
              <w:br w:type="textWrapping"/>
            </w:r>
            <w:r>
              <w:rPr>
                <w:rFonts w:ascii="Times New Roman"/>
                <w:sz w:val="21"/>
                <w:szCs w:val="21"/>
              </w:rPr>
              <w:t>e202410382页</w:t>
            </w:r>
          </w:p>
        </w:tc>
        <w:tc>
          <w:tcPr>
            <w:tcW w:w="992" w:type="dxa"/>
            <w:tcBorders>
              <w:top w:val="single" w:color="auto" w:sz="8" w:space="0"/>
              <w:left w:val="single" w:color="auto" w:sz="8" w:space="0"/>
              <w:bottom w:val="single" w:color="auto" w:sz="8" w:space="0"/>
              <w:right w:val="single" w:color="auto" w:sz="8" w:space="0"/>
            </w:tcBorders>
            <w:vAlign w:val="center"/>
          </w:tcPr>
          <w:p w14:paraId="294C6AE2">
            <w:pPr>
              <w:pStyle w:val="6"/>
              <w:snapToGrid w:val="0"/>
              <w:spacing w:line="240" w:lineRule="auto"/>
              <w:ind w:firstLine="0" w:firstLineChars="0"/>
              <w:jc w:val="center"/>
              <w:rPr>
                <w:rFonts w:ascii="Times New Roman"/>
                <w:sz w:val="21"/>
                <w:szCs w:val="21"/>
              </w:rPr>
            </w:pPr>
            <w:r>
              <w:rPr>
                <w:rFonts w:ascii="Times New Roman"/>
                <w:sz w:val="21"/>
                <w:szCs w:val="21"/>
              </w:rPr>
              <w:t>2024年07月31日</w:t>
            </w:r>
          </w:p>
        </w:tc>
        <w:tc>
          <w:tcPr>
            <w:tcW w:w="2410" w:type="dxa"/>
            <w:tcBorders>
              <w:top w:val="single" w:color="auto" w:sz="8" w:space="0"/>
              <w:left w:val="single" w:color="auto" w:sz="8" w:space="0"/>
              <w:bottom w:val="single" w:color="auto" w:sz="8" w:space="0"/>
              <w:right w:val="single" w:color="auto" w:sz="8" w:space="0"/>
            </w:tcBorders>
            <w:vAlign w:val="center"/>
          </w:tcPr>
          <w:p w14:paraId="73AD3465">
            <w:pPr>
              <w:pStyle w:val="6"/>
              <w:snapToGrid w:val="0"/>
              <w:spacing w:line="240" w:lineRule="auto"/>
              <w:ind w:firstLine="0" w:firstLineChars="0"/>
              <w:jc w:val="center"/>
              <w:rPr>
                <w:rFonts w:ascii="Times New Roman"/>
                <w:sz w:val="21"/>
                <w:szCs w:val="21"/>
              </w:rPr>
            </w:pPr>
            <w:r>
              <w:rPr>
                <w:rFonts w:ascii="Times New Roman"/>
                <w:sz w:val="21"/>
                <w:szCs w:val="21"/>
              </w:rPr>
              <w:t>通讯：Xiangping Zhang; Uwe T. Bornscheuer; Peter J. Deuss；第一：Zhenlei Zhang; Ge Guo</w:t>
            </w:r>
          </w:p>
        </w:tc>
        <w:tc>
          <w:tcPr>
            <w:tcW w:w="2952" w:type="dxa"/>
            <w:tcBorders>
              <w:top w:val="single" w:color="auto" w:sz="8" w:space="0"/>
              <w:left w:val="single" w:color="auto" w:sz="8" w:space="0"/>
              <w:bottom w:val="single" w:color="auto" w:sz="8" w:space="0"/>
              <w:right w:val="single" w:color="auto" w:sz="8" w:space="0"/>
            </w:tcBorders>
            <w:vAlign w:val="center"/>
          </w:tcPr>
          <w:p w14:paraId="56BFEDCB">
            <w:pPr>
              <w:pStyle w:val="6"/>
              <w:snapToGrid w:val="0"/>
              <w:spacing w:line="240" w:lineRule="auto"/>
              <w:ind w:firstLine="0" w:firstLineChars="0"/>
              <w:rPr>
                <w:rFonts w:ascii="Times New Roman"/>
                <w:sz w:val="21"/>
                <w:szCs w:val="21"/>
              </w:rPr>
            </w:pPr>
            <w:r>
              <w:rPr>
                <w:rFonts w:ascii="Times New Roman"/>
                <w:sz w:val="21"/>
                <w:szCs w:val="21"/>
              </w:rPr>
              <w:t>张振磊；张香平</w:t>
            </w:r>
          </w:p>
        </w:tc>
      </w:tr>
      <w:tr w14:paraId="36B804B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517" w:type="dxa"/>
            <w:tcBorders>
              <w:top w:val="single" w:color="auto" w:sz="8" w:space="0"/>
              <w:left w:val="single" w:color="auto" w:sz="8" w:space="0"/>
              <w:bottom w:val="single" w:color="auto" w:sz="8" w:space="0"/>
              <w:right w:val="single" w:color="auto" w:sz="8" w:space="0"/>
            </w:tcBorders>
            <w:vAlign w:val="center"/>
          </w:tcPr>
          <w:p w14:paraId="0767764E">
            <w:pPr>
              <w:pStyle w:val="6"/>
              <w:snapToGrid w:val="0"/>
              <w:spacing w:line="240" w:lineRule="auto"/>
              <w:ind w:firstLine="0" w:firstLineChars="0"/>
              <w:jc w:val="center"/>
              <w:rPr>
                <w:rFonts w:ascii="Times New Roman"/>
                <w:sz w:val="21"/>
                <w:szCs w:val="21"/>
              </w:rPr>
            </w:pPr>
            <w:r>
              <w:rPr>
                <w:rFonts w:hint="eastAsia" w:ascii="Times New Roman"/>
                <w:sz w:val="21"/>
                <w:szCs w:val="21"/>
              </w:rPr>
              <w:t>4</w:t>
            </w:r>
          </w:p>
        </w:tc>
        <w:tc>
          <w:tcPr>
            <w:tcW w:w="850" w:type="dxa"/>
            <w:tcBorders>
              <w:top w:val="single" w:color="auto" w:sz="8" w:space="0"/>
              <w:left w:val="single" w:color="auto" w:sz="8" w:space="0"/>
              <w:bottom w:val="single" w:color="auto" w:sz="8" w:space="0"/>
              <w:right w:val="single" w:color="auto" w:sz="8" w:space="0"/>
            </w:tcBorders>
            <w:vAlign w:val="center"/>
          </w:tcPr>
          <w:p w14:paraId="27325226">
            <w:pPr>
              <w:pStyle w:val="6"/>
              <w:snapToGrid w:val="0"/>
              <w:spacing w:line="240" w:lineRule="auto"/>
              <w:ind w:firstLine="0" w:firstLineChars="0"/>
              <w:jc w:val="left"/>
              <w:rPr>
                <w:rFonts w:ascii="Times New Roman"/>
                <w:sz w:val="21"/>
                <w:szCs w:val="21"/>
              </w:rPr>
            </w:pPr>
            <w:r>
              <w:rPr>
                <w:rFonts w:ascii="Times New Roman"/>
                <w:sz w:val="21"/>
                <w:szCs w:val="21"/>
              </w:rPr>
              <w:t>论文</w:t>
            </w:r>
          </w:p>
        </w:tc>
        <w:tc>
          <w:tcPr>
            <w:tcW w:w="4812" w:type="dxa"/>
            <w:tcBorders>
              <w:top w:val="single" w:color="auto" w:sz="8" w:space="0"/>
              <w:left w:val="single" w:color="auto" w:sz="8" w:space="0"/>
              <w:bottom w:val="single" w:color="auto" w:sz="8" w:space="0"/>
              <w:right w:val="single" w:color="auto" w:sz="8" w:space="0"/>
            </w:tcBorders>
            <w:vAlign w:val="center"/>
          </w:tcPr>
          <w:p w14:paraId="50863E0A">
            <w:pPr>
              <w:pStyle w:val="6"/>
              <w:snapToGrid w:val="0"/>
              <w:spacing w:line="240" w:lineRule="auto"/>
              <w:ind w:firstLine="0" w:firstLineChars="0"/>
              <w:jc w:val="left"/>
              <w:rPr>
                <w:rFonts w:ascii="Times New Roman"/>
                <w:sz w:val="21"/>
                <w:szCs w:val="21"/>
              </w:rPr>
            </w:pPr>
            <w:r>
              <w:rPr>
                <w:rFonts w:ascii="Times New Roman"/>
                <w:sz w:val="21"/>
                <w:szCs w:val="21"/>
              </w:rPr>
              <w:t>Toward superior capacitive energy storage: Recent advances in pore engineering for dense electrodes</w:t>
            </w:r>
          </w:p>
        </w:tc>
        <w:tc>
          <w:tcPr>
            <w:tcW w:w="932" w:type="dxa"/>
            <w:tcBorders>
              <w:top w:val="single" w:color="auto" w:sz="8" w:space="0"/>
              <w:left w:val="single" w:color="auto" w:sz="8" w:space="0"/>
              <w:bottom w:val="single" w:color="auto" w:sz="8" w:space="0"/>
              <w:right w:val="single" w:color="auto" w:sz="8" w:space="0"/>
            </w:tcBorders>
            <w:vAlign w:val="center"/>
          </w:tcPr>
          <w:p w14:paraId="4906F55A">
            <w:pPr>
              <w:pStyle w:val="6"/>
              <w:snapToGrid w:val="0"/>
              <w:spacing w:line="240" w:lineRule="auto"/>
              <w:ind w:firstLine="0" w:firstLineChars="0"/>
              <w:jc w:val="left"/>
              <w:rPr>
                <w:rFonts w:ascii="Times New Roman"/>
                <w:sz w:val="21"/>
                <w:szCs w:val="21"/>
              </w:rPr>
            </w:pPr>
            <w:r>
              <w:rPr>
                <w:rFonts w:hint="eastAsia" w:ascii="Times New Roman"/>
                <w:sz w:val="21"/>
                <w:szCs w:val="21"/>
              </w:rPr>
              <w:t>Adv. Mater.</w:t>
            </w:r>
          </w:p>
        </w:tc>
        <w:tc>
          <w:tcPr>
            <w:tcW w:w="2076" w:type="dxa"/>
            <w:tcBorders>
              <w:top w:val="single" w:color="auto" w:sz="8" w:space="0"/>
              <w:left w:val="single" w:color="auto" w:sz="8" w:space="0"/>
              <w:bottom w:val="single" w:color="auto" w:sz="8" w:space="0"/>
              <w:right w:val="single" w:color="auto" w:sz="8" w:space="0"/>
            </w:tcBorders>
            <w:vAlign w:val="center"/>
          </w:tcPr>
          <w:p w14:paraId="2AFF50DE">
            <w:pPr>
              <w:pStyle w:val="6"/>
              <w:snapToGrid w:val="0"/>
              <w:spacing w:line="240" w:lineRule="auto"/>
              <w:ind w:firstLine="0" w:firstLineChars="0"/>
              <w:jc w:val="left"/>
              <w:rPr>
                <w:rFonts w:ascii="Times New Roman"/>
                <w:sz w:val="21"/>
                <w:szCs w:val="21"/>
              </w:rPr>
            </w:pPr>
            <w:r>
              <w:t>2018年</w:t>
            </w:r>
            <w:r>
              <w:br w:type="textWrapping"/>
            </w:r>
            <w:r>
              <w:t>30卷</w:t>
            </w:r>
            <w:r>
              <w:br w:type="textWrapping"/>
            </w:r>
            <w:r>
              <w:t>1705713页</w:t>
            </w:r>
          </w:p>
        </w:tc>
        <w:tc>
          <w:tcPr>
            <w:tcW w:w="992" w:type="dxa"/>
            <w:tcBorders>
              <w:top w:val="single" w:color="auto" w:sz="8" w:space="0"/>
              <w:left w:val="single" w:color="auto" w:sz="8" w:space="0"/>
              <w:bottom w:val="single" w:color="auto" w:sz="8" w:space="0"/>
              <w:right w:val="single" w:color="auto" w:sz="8" w:space="0"/>
            </w:tcBorders>
            <w:vAlign w:val="center"/>
          </w:tcPr>
          <w:p w14:paraId="1FCE1FF4">
            <w:pPr>
              <w:pStyle w:val="6"/>
              <w:snapToGrid w:val="0"/>
              <w:spacing w:line="240" w:lineRule="auto"/>
              <w:ind w:firstLine="0" w:firstLineChars="0"/>
              <w:jc w:val="left"/>
              <w:rPr>
                <w:rFonts w:ascii="Times New Roman"/>
                <w:sz w:val="21"/>
                <w:szCs w:val="21"/>
              </w:rPr>
            </w:pPr>
            <w:r>
              <w:rPr>
                <w:rFonts w:hint="eastAsia" w:ascii="Times New Roman"/>
                <w:sz w:val="21"/>
                <w:szCs w:val="21"/>
              </w:rPr>
              <w:t>2018年03月14日</w:t>
            </w:r>
          </w:p>
        </w:tc>
        <w:tc>
          <w:tcPr>
            <w:tcW w:w="2410" w:type="dxa"/>
            <w:tcBorders>
              <w:top w:val="single" w:color="auto" w:sz="8" w:space="0"/>
              <w:left w:val="single" w:color="auto" w:sz="8" w:space="0"/>
              <w:bottom w:val="single" w:color="auto" w:sz="8" w:space="0"/>
              <w:right w:val="single" w:color="auto" w:sz="8" w:space="0"/>
            </w:tcBorders>
            <w:vAlign w:val="center"/>
          </w:tcPr>
          <w:p w14:paraId="41AC9C2C">
            <w:pPr>
              <w:pStyle w:val="6"/>
              <w:snapToGrid w:val="0"/>
              <w:spacing w:line="240" w:lineRule="auto"/>
              <w:ind w:firstLine="0" w:firstLineChars="0"/>
              <w:jc w:val="left"/>
              <w:rPr>
                <w:rFonts w:ascii="Times New Roman"/>
                <w:sz w:val="21"/>
                <w:szCs w:val="21"/>
              </w:rPr>
            </w:pPr>
            <w:r>
              <w:rPr>
                <w:rFonts w:ascii="Times New Roman"/>
                <w:sz w:val="21"/>
                <w:szCs w:val="21"/>
              </w:rPr>
              <w:t>通讯：Guangming Wu; Xiaowei Yang；第一：Congcong Liu</w:t>
            </w:r>
          </w:p>
        </w:tc>
        <w:tc>
          <w:tcPr>
            <w:tcW w:w="2952" w:type="dxa"/>
            <w:tcBorders>
              <w:top w:val="single" w:color="auto" w:sz="8" w:space="0"/>
              <w:left w:val="single" w:color="auto" w:sz="8" w:space="0"/>
              <w:bottom w:val="single" w:color="auto" w:sz="8" w:space="0"/>
              <w:right w:val="single" w:color="auto" w:sz="8" w:space="0"/>
            </w:tcBorders>
            <w:vAlign w:val="center"/>
          </w:tcPr>
          <w:p w14:paraId="15F0173C">
            <w:pPr>
              <w:pStyle w:val="6"/>
              <w:snapToGrid w:val="0"/>
              <w:spacing w:line="240" w:lineRule="auto"/>
              <w:ind w:firstLine="0" w:firstLineChars="0"/>
              <w:jc w:val="left"/>
              <w:rPr>
                <w:rFonts w:ascii="Times New Roman"/>
                <w:sz w:val="21"/>
                <w:szCs w:val="21"/>
              </w:rPr>
            </w:pPr>
            <w:r>
              <w:rPr>
                <w:rFonts w:ascii="Times New Roman"/>
                <w:sz w:val="21"/>
                <w:szCs w:val="21"/>
              </w:rPr>
              <w:t>刘聪聪；闫晓军；胡飞；高国华；吴广明；杨晓伟</w:t>
            </w:r>
          </w:p>
        </w:tc>
      </w:tr>
      <w:tr w14:paraId="5C5C870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517" w:type="dxa"/>
            <w:tcBorders>
              <w:top w:val="single" w:color="auto" w:sz="8" w:space="0"/>
              <w:left w:val="single" w:color="auto" w:sz="8" w:space="0"/>
              <w:bottom w:val="single" w:color="auto" w:sz="8" w:space="0"/>
              <w:right w:val="single" w:color="auto" w:sz="8" w:space="0"/>
            </w:tcBorders>
            <w:vAlign w:val="center"/>
          </w:tcPr>
          <w:p w14:paraId="4C99582A">
            <w:pPr>
              <w:pStyle w:val="6"/>
              <w:snapToGrid w:val="0"/>
              <w:spacing w:line="240" w:lineRule="auto"/>
              <w:ind w:firstLine="0" w:firstLineChars="0"/>
              <w:jc w:val="center"/>
              <w:rPr>
                <w:rFonts w:ascii="Times New Roman"/>
                <w:sz w:val="21"/>
                <w:szCs w:val="21"/>
              </w:rPr>
            </w:pPr>
            <w:r>
              <w:rPr>
                <w:rFonts w:hint="eastAsia" w:ascii="Times New Roman"/>
                <w:sz w:val="21"/>
                <w:szCs w:val="21"/>
              </w:rPr>
              <w:t>5</w:t>
            </w:r>
          </w:p>
        </w:tc>
        <w:tc>
          <w:tcPr>
            <w:tcW w:w="850" w:type="dxa"/>
            <w:tcBorders>
              <w:top w:val="single" w:color="auto" w:sz="8" w:space="0"/>
              <w:left w:val="single" w:color="auto" w:sz="8" w:space="0"/>
              <w:bottom w:val="single" w:color="auto" w:sz="8" w:space="0"/>
              <w:right w:val="single" w:color="auto" w:sz="8" w:space="0"/>
            </w:tcBorders>
            <w:vAlign w:val="center"/>
          </w:tcPr>
          <w:p w14:paraId="31D816E1">
            <w:pPr>
              <w:pStyle w:val="6"/>
              <w:snapToGrid w:val="0"/>
              <w:spacing w:line="240" w:lineRule="auto"/>
              <w:ind w:firstLine="0" w:firstLineChars="0"/>
              <w:jc w:val="left"/>
              <w:rPr>
                <w:rFonts w:ascii="Times New Roman"/>
                <w:sz w:val="21"/>
                <w:szCs w:val="21"/>
              </w:rPr>
            </w:pPr>
            <w:r>
              <w:rPr>
                <w:rFonts w:ascii="Times New Roman"/>
                <w:sz w:val="21"/>
                <w:szCs w:val="21"/>
              </w:rPr>
              <w:t>论文</w:t>
            </w:r>
          </w:p>
        </w:tc>
        <w:tc>
          <w:tcPr>
            <w:tcW w:w="4812" w:type="dxa"/>
            <w:tcBorders>
              <w:top w:val="single" w:color="auto" w:sz="8" w:space="0"/>
              <w:left w:val="single" w:color="auto" w:sz="8" w:space="0"/>
              <w:bottom w:val="single" w:color="auto" w:sz="8" w:space="0"/>
              <w:right w:val="single" w:color="auto" w:sz="8" w:space="0"/>
            </w:tcBorders>
            <w:vAlign w:val="center"/>
          </w:tcPr>
          <w:p w14:paraId="49F2847D">
            <w:pPr>
              <w:pStyle w:val="6"/>
              <w:snapToGrid w:val="0"/>
              <w:spacing w:line="240" w:lineRule="auto"/>
              <w:ind w:left="210" w:hanging="210" w:hangingChars="100"/>
              <w:jc w:val="left"/>
              <w:rPr>
                <w:rFonts w:ascii="Times New Roman"/>
                <w:sz w:val="21"/>
                <w:szCs w:val="21"/>
              </w:rPr>
            </w:pPr>
            <w:r>
              <w:rPr>
                <w:rFonts w:ascii="Times New Roman"/>
                <w:sz w:val="21"/>
                <w:szCs w:val="21"/>
              </w:rPr>
              <w:t>Curing characteristics and performance of a bio-based polyurethane engineered sealant with high bonding strength: effect of R value and chain extender content</w:t>
            </w:r>
          </w:p>
        </w:tc>
        <w:tc>
          <w:tcPr>
            <w:tcW w:w="932" w:type="dxa"/>
            <w:tcBorders>
              <w:top w:val="single" w:color="auto" w:sz="8" w:space="0"/>
              <w:left w:val="single" w:color="auto" w:sz="8" w:space="0"/>
              <w:bottom w:val="single" w:color="auto" w:sz="8" w:space="0"/>
              <w:right w:val="single" w:color="auto" w:sz="8" w:space="0"/>
            </w:tcBorders>
            <w:vAlign w:val="center"/>
          </w:tcPr>
          <w:p w14:paraId="77D18593">
            <w:pPr>
              <w:pStyle w:val="6"/>
              <w:snapToGrid w:val="0"/>
              <w:spacing w:line="240" w:lineRule="auto"/>
              <w:ind w:firstLine="0" w:firstLineChars="0"/>
              <w:jc w:val="left"/>
              <w:rPr>
                <w:rFonts w:ascii="Times New Roman"/>
                <w:sz w:val="21"/>
                <w:szCs w:val="21"/>
              </w:rPr>
            </w:pPr>
            <w:r>
              <w:rPr>
                <w:rFonts w:hint="eastAsia" w:ascii="Times New Roman"/>
                <w:sz w:val="21"/>
                <w:szCs w:val="21"/>
              </w:rPr>
              <w:t>Constr. Build. Mater.</w:t>
            </w:r>
          </w:p>
        </w:tc>
        <w:tc>
          <w:tcPr>
            <w:tcW w:w="2076" w:type="dxa"/>
            <w:tcBorders>
              <w:top w:val="single" w:color="auto" w:sz="8" w:space="0"/>
              <w:left w:val="single" w:color="auto" w:sz="8" w:space="0"/>
              <w:bottom w:val="single" w:color="auto" w:sz="8" w:space="0"/>
              <w:right w:val="single" w:color="auto" w:sz="8" w:space="0"/>
            </w:tcBorders>
            <w:vAlign w:val="center"/>
          </w:tcPr>
          <w:p w14:paraId="3BFE5442">
            <w:pPr>
              <w:pStyle w:val="6"/>
              <w:snapToGrid w:val="0"/>
              <w:spacing w:line="240" w:lineRule="auto"/>
              <w:ind w:firstLine="0" w:firstLineChars="0"/>
              <w:jc w:val="left"/>
              <w:rPr>
                <w:rFonts w:ascii="Times New Roman"/>
                <w:sz w:val="21"/>
                <w:szCs w:val="21"/>
              </w:rPr>
            </w:pPr>
            <w:r>
              <w:t>2024年</w:t>
            </w:r>
            <w:r>
              <w:br w:type="textWrapping"/>
            </w:r>
            <w:r>
              <w:t>432卷</w:t>
            </w:r>
            <w:r>
              <w:br w:type="textWrapping"/>
            </w:r>
            <w:r>
              <w:t>136684页</w:t>
            </w:r>
          </w:p>
        </w:tc>
        <w:tc>
          <w:tcPr>
            <w:tcW w:w="992" w:type="dxa"/>
            <w:tcBorders>
              <w:top w:val="single" w:color="auto" w:sz="8" w:space="0"/>
              <w:left w:val="single" w:color="auto" w:sz="8" w:space="0"/>
              <w:bottom w:val="single" w:color="auto" w:sz="8" w:space="0"/>
              <w:right w:val="single" w:color="auto" w:sz="8" w:space="0"/>
            </w:tcBorders>
            <w:vAlign w:val="center"/>
          </w:tcPr>
          <w:p w14:paraId="26F34B8F">
            <w:pPr>
              <w:tabs>
                <w:tab w:val="left" w:pos="510"/>
              </w:tabs>
              <w:rPr>
                <w:rFonts w:ascii="Times New Roman" w:hAnsi="Times New Roman" w:cs="Times New Roman"/>
                <w:szCs w:val="21"/>
              </w:rPr>
            </w:pPr>
            <w:r>
              <w:rPr>
                <w:rFonts w:hint="eastAsia" w:ascii="Times New Roman" w:hAnsi="Times New Roman" w:cs="Times New Roman"/>
                <w:szCs w:val="21"/>
              </w:rPr>
              <w:t>2024年05月20日</w:t>
            </w:r>
          </w:p>
        </w:tc>
        <w:tc>
          <w:tcPr>
            <w:tcW w:w="2410" w:type="dxa"/>
            <w:tcBorders>
              <w:top w:val="single" w:color="auto" w:sz="8" w:space="0"/>
              <w:left w:val="single" w:color="auto" w:sz="8" w:space="0"/>
              <w:bottom w:val="single" w:color="auto" w:sz="8" w:space="0"/>
              <w:right w:val="single" w:color="auto" w:sz="8" w:space="0"/>
            </w:tcBorders>
            <w:vAlign w:val="center"/>
          </w:tcPr>
          <w:p w14:paraId="5EA66FC9">
            <w:pPr>
              <w:pStyle w:val="6"/>
              <w:snapToGrid w:val="0"/>
              <w:spacing w:line="240" w:lineRule="auto"/>
              <w:ind w:firstLine="0" w:firstLineChars="0"/>
              <w:jc w:val="left"/>
              <w:rPr>
                <w:rFonts w:ascii="Times New Roman"/>
                <w:sz w:val="21"/>
                <w:szCs w:val="21"/>
              </w:rPr>
            </w:pPr>
            <w:r>
              <w:rPr>
                <w:rFonts w:ascii="Times New Roman"/>
                <w:sz w:val="21"/>
                <w:szCs w:val="21"/>
              </w:rPr>
              <w:t>通讯：Zengping Zhang; Yu Luo；第一：Xiaosong Liu</w:t>
            </w:r>
          </w:p>
        </w:tc>
        <w:tc>
          <w:tcPr>
            <w:tcW w:w="2952" w:type="dxa"/>
            <w:tcBorders>
              <w:top w:val="single" w:color="auto" w:sz="8" w:space="0"/>
              <w:left w:val="single" w:color="auto" w:sz="8" w:space="0"/>
              <w:bottom w:val="single" w:color="auto" w:sz="8" w:space="0"/>
              <w:right w:val="single" w:color="auto" w:sz="8" w:space="0"/>
            </w:tcBorders>
            <w:vAlign w:val="center"/>
          </w:tcPr>
          <w:p w14:paraId="321B4CC2">
            <w:pPr>
              <w:pStyle w:val="6"/>
              <w:snapToGrid w:val="0"/>
              <w:spacing w:line="240" w:lineRule="auto"/>
              <w:ind w:firstLine="0" w:firstLineChars="0"/>
              <w:jc w:val="left"/>
              <w:rPr>
                <w:rFonts w:ascii="Times New Roman"/>
                <w:sz w:val="21"/>
                <w:szCs w:val="21"/>
              </w:rPr>
            </w:pPr>
            <w:r>
              <w:rPr>
                <w:rFonts w:ascii="Times New Roman"/>
                <w:sz w:val="21"/>
                <w:szCs w:val="21"/>
              </w:rPr>
              <w:t>刘晓松；张增平；罗钰；孙佳；田培军；刘浩；毛志勇；阚世云；余新河</w:t>
            </w:r>
          </w:p>
        </w:tc>
      </w:tr>
    </w:tbl>
    <w:p w14:paraId="64B57F4B">
      <w:pPr>
        <w:rPr>
          <w:rFonts w:hint="eastAsia" w:asciiTheme="minorEastAsia" w:hAnsiTheme="minorEastAsia" w:cstheme="minorEastAsia"/>
        </w:rPr>
        <w:sectPr>
          <w:pgSz w:w="16838" w:h="11906" w:orient="landscape"/>
          <w:pgMar w:top="1797" w:right="1440" w:bottom="1797" w:left="1440" w:header="851" w:footer="992" w:gutter="0"/>
          <w:cols w:space="425" w:num="1"/>
          <w:docGrid w:type="linesAndChars" w:linePitch="312" w:charSpace="0"/>
        </w:sectPr>
      </w:pPr>
    </w:p>
    <w:p w14:paraId="21E15955">
      <w:pPr>
        <w:rPr>
          <w:rFonts w:hint="eastAsia" w:asciiTheme="minorEastAsia" w:hAnsiTheme="minorEastAsia" w:cstheme="minorEastAsia"/>
        </w:rPr>
      </w:pPr>
    </w:p>
    <w:p w14:paraId="5D2CD9BC">
      <w:pPr>
        <w:pStyle w:val="11"/>
        <w:numPr>
          <w:ilvl w:val="0"/>
          <w:numId w:val="1"/>
        </w:numPr>
        <w:spacing w:before="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主要完成人情况</w:t>
      </w:r>
    </w:p>
    <w:p w14:paraId="1CA9E28E">
      <w:pPr>
        <w:rPr>
          <w:rFonts w:hint="eastAsia" w:asciiTheme="minorEastAsia" w:hAnsiTheme="minorEastAsia" w:cstheme="minorEastAsia"/>
        </w:rPr>
      </w:pPr>
    </w:p>
    <w:tbl>
      <w:tblPr>
        <w:tblStyle w:val="14"/>
        <w:tblW w:w="97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686"/>
        <w:gridCol w:w="1774"/>
        <w:gridCol w:w="1400"/>
        <w:gridCol w:w="1707"/>
        <w:gridCol w:w="1428"/>
        <w:gridCol w:w="1901"/>
      </w:tblGrid>
      <w:tr w14:paraId="1DDAF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blHeader/>
          <w:jc w:val="center"/>
        </w:trPr>
        <w:tc>
          <w:tcPr>
            <w:tcW w:w="849" w:type="dxa"/>
            <w:vAlign w:val="center"/>
          </w:tcPr>
          <w:p w14:paraId="3C653295">
            <w:pPr>
              <w:jc w:val="center"/>
              <w:rPr>
                <w:rFonts w:ascii="Times New Roman" w:hAnsi="Times New Roman" w:eastAsia="宋体" w:cs="Times New Roman"/>
                <w:b/>
                <w:color w:val="000000" w:themeColor="text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姓名</w:t>
            </w:r>
          </w:p>
        </w:tc>
        <w:tc>
          <w:tcPr>
            <w:tcW w:w="686" w:type="dxa"/>
            <w:vAlign w:val="center"/>
          </w:tcPr>
          <w:p w14:paraId="11526588">
            <w:pPr>
              <w:jc w:val="center"/>
              <w:rPr>
                <w:rFonts w:ascii="Times New Roman" w:hAnsi="Times New Roman" w:eastAsia="宋体" w:cs="Times New Roman"/>
                <w:b/>
                <w:color w:val="000000" w:themeColor="text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排名</w:t>
            </w:r>
          </w:p>
        </w:tc>
        <w:tc>
          <w:tcPr>
            <w:tcW w:w="1774" w:type="dxa"/>
            <w:vAlign w:val="center"/>
          </w:tcPr>
          <w:p w14:paraId="210DDF5C">
            <w:pPr>
              <w:jc w:val="center"/>
              <w:rPr>
                <w:rFonts w:ascii="Times New Roman" w:hAnsi="Times New Roman" w:eastAsia="宋体" w:cs="Times New Roman"/>
                <w:b/>
                <w:color w:val="000000" w:themeColor="text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行政职务</w:t>
            </w:r>
          </w:p>
        </w:tc>
        <w:tc>
          <w:tcPr>
            <w:tcW w:w="1400" w:type="dxa"/>
            <w:vAlign w:val="center"/>
          </w:tcPr>
          <w:p w14:paraId="2C3E94CE">
            <w:pPr>
              <w:jc w:val="center"/>
              <w:rPr>
                <w:rFonts w:ascii="Times New Roman" w:hAnsi="Times New Roman" w:eastAsia="宋体" w:cs="Times New Roman"/>
                <w:b/>
                <w:color w:val="000000" w:themeColor="text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技术职称</w:t>
            </w:r>
          </w:p>
        </w:tc>
        <w:tc>
          <w:tcPr>
            <w:tcW w:w="1707" w:type="dxa"/>
            <w:vAlign w:val="center"/>
          </w:tcPr>
          <w:p w14:paraId="77DF6824">
            <w:pPr>
              <w:jc w:val="center"/>
              <w:rPr>
                <w:rFonts w:ascii="Times New Roman" w:hAnsi="Times New Roman" w:eastAsia="宋体" w:cs="Times New Roman"/>
                <w:b/>
                <w:color w:val="000000" w:themeColor="text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工作单位</w:t>
            </w:r>
          </w:p>
        </w:tc>
        <w:tc>
          <w:tcPr>
            <w:tcW w:w="1428" w:type="dxa"/>
            <w:vAlign w:val="center"/>
          </w:tcPr>
          <w:p w14:paraId="50AB2DF4">
            <w:pPr>
              <w:jc w:val="center"/>
              <w:rPr>
                <w:rFonts w:ascii="Times New Roman" w:hAnsi="Times New Roman" w:eastAsia="宋体" w:cs="Times New Roman"/>
                <w:b/>
                <w:color w:val="000000" w:themeColor="text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完成单位</w:t>
            </w:r>
          </w:p>
        </w:tc>
        <w:tc>
          <w:tcPr>
            <w:tcW w:w="1901" w:type="dxa"/>
            <w:vAlign w:val="center"/>
          </w:tcPr>
          <w:p w14:paraId="520ED3AA">
            <w:pPr>
              <w:jc w:val="center"/>
              <w:rPr>
                <w:rFonts w:ascii="Times New Roman" w:hAnsi="Times New Roman" w:eastAsia="宋体" w:cs="Times New Roman"/>
                <w:b/>
                <w:color w:val="000000" w:themeColor="text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贡献</w:t>
            </w:r>
          </w:p>
        </w:tc>
      </w:tr>
      <w:tr w14:paraId="2A625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jc w:val="center"/>
        </w:trPr>
        <w:tc>
          <w:tcPr>
            <w:tcW w:w="849" w:type="dxa"/>
            <w:vAlign w:val="center"/>
          </w:tcPr>
          <w:p w14:paraId="74EC2FD4">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bCs/>
              </w:rPr>
              <w:t>李宇亮</w:t>
            </w:r>
          </w:p>
        </w:tc>
        <w:tc>
          <w:tcPr>
            <w:tcW w:w="686" w:type="dxa"/>
            <w:vAlign w:val="center"/>
          </w:tcPr>
          <w:p w14:paraId="23F3D0CD">
            <w:pPr>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1</w:t>
            </w:r>
          </w:p>
        </w:tc>
        <w:tc>
          <w:tcPr>
            <w:tcW w:w="1774" w:type="dxa"/>
            <w:vAlign w:val="center"/>
          </w:tcPr>
          <w:p w14:paraId="5B9E1AD1">
            <w:pPr>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长安大学科学研究院基础研究处副处长</w:t>
            </w:r>
          </w:p>
        </w:tc>
        <w:tc>
          <w:tcPr>
            <w:tcW w:w="1400" w:type="dxa"/>
            <w:vAlign w:val="center"/>
          </w:tcPr>
          <w:p w14:paraId="5B77B5AA">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教授</w:t>
            </w:r>
          </w:p>
        </w:tc>
        <w:tc>
          <w:tcPr>
            <w:tcW w:w="1707" w:type="dxa"/>
            <w:vAlign w:val="center"/>
          </w:tcPr>
          <w:p w14:paraId="1A81309F">
            <w:pPr>
              <w:jc w:val="left"/>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长安大学</w:t>
            </w:r>
          </w:p>
        </w:tc>
        <w:tc>
          <w:tcPr>
            <w:tcW w:w="1428" w:type="dxa"/>
            <w:vAlign w:val="center"/>
          </w:tcPr>
          <w:p w14:paraId="693312E2">
            <w:pPr>
              <w:jc w:val="left"/>
              <w:rPr>
                <w:rFonts w:ascii="Times New Roman" w:hAnsi="Times New Roman" w:eastAsia="宋体" w:cs="Times New Roman"/>
                <w:bCs/>
                <w:color w:val="000000" w:themeColor="text1"/>
                <w:sz w:val="20"/>
                <w:szCs w:val="20"/>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长安大学</w:t>
            </w:r>
          </w:p>
        </w:tc>
        <w:tc>
          <w:tcPr>
            <w:tcW w:w="1901" w:type="dxa"/>
            <w:vAlign w:val="center"/>
          </w:tcPr>
          <w:p w14:paraId="6768611C">
            <w:pPr>
              <w:jc w:val="left"/>
              <w:rPr>
                <w:rFonts w:ascii="Times New Roman"/>
                <w:color w:val="000000" w:themeColor="text1"/>
                <w:szCs w:val="21"/>
                <w14:textFill>
                  <w14:solidFill>
                    <w14:schemeClr w14:val="tx1"/>
                  </w14:solidFill>
                </w14:textFill>
              </w:rPr>
            </w:pPr>
            <w:r>
              <w:rPr>
                <w:rFonts w:hint="eastAsia" w:ascii="Times New Roman"/>
                <w:color w:val="000000" w:themeColor="text1"/>
                <w:szCs w:val="21"/>
                <w14:textFill>
                  <w14:solidFill>
                    <w14:schemeClr w14:val="tx1"/>
                  </w14:solidFill>
                </w14:textFill>
              </w:rPr>
              <w:t>项目总负责人，负责总体设计、组织实施与协调；代表性论文[1]、[2]通讯作者（含共同通讯作者）。</w:t>
            </w:r>
          </w:p>
        </w:tc>
      </w:tr>
      <w:tr w14:paraId="4B74E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jc w:val="center"/>
        </w:trPr>
        <w:tc>
          <w:tcPr>
            <w:tcW w:w="849" w:type="dxa"/>
            <w:vAlign w:val="center"/>
          </w:tcPr>
          <w:p w14:paraId="199A529D">
            <w:pPr>
              <w:jc w:val="center"/>
              <w:rPr>
                <w:rFonts w:ascii="Times New Roman" w:hAnsi="Times New Roman" w:eastAsia="宋体" w:cs="Times New Roman"/>
                <w:bCs/>
                <w:color w:val="000000" w:themeColor="text1"/>
                <w:szCs w:val="21"/>
                <w14:textFill>
                  <w14:solidFill>
                    <w14:schemeClr w14:val="tx1"/>
                  </w14:solidFill>
                </w14:textFill>
              </w:rPr>
            </w:pPr>
            <w:r>
              <w:rPr>
                <w:bCs/>
              </w:rPr>
              <w:t>徐帅</w:t>
            </w:r>
          </w:p>
        </w:tc>
        <w:tc>
          <w:tcPr>
            <w:tcW w:w="686" w:type="dxa"/>
            <w:vAlign w:val="center"/>
          </w:tcPr>
          <w:p w14:paraId="506021A8">
            <w:pPr>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2</w:t>
            </w:r>
          </w:p>
        </w:tc>
        <w:tc>
          <w:tcPr>
            <w:tcW w:w="1774" w:type="dxa"/>
            <w:vAlign w:val="center"/>
          </w:tcPr>
          <w:p w14:paraId="12F814F5">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无</w:t>
            </w:r>
          </w:p>
        </w:tc>
        <w:tc>
          <w:tcPr>
            <w:tcW w:w="1400" w:type="dxa"/>
            <w:vAlign w:val="center"/>
          </w:tcPr>
          <w:p w14:paraId="5248B632">
            <w:pPr>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讲师</w:t>
            </w:r>
          </w:p>
        </w:tc>
        <w:tc>
          <w:tcPr>
            <w:tcW w:w="1707" w:type="dxa"/>
            <w:vAlign w:val="center"/>
          </w:tcPr>
          <w:p w14:paraId="4A828909">
            <w:pPr>
              <w:jc w:val="left"/>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长安大学</w:t>
            </w:r>
          </w:p>
        </w:tc>
        <w:tc>
          <w:tcPr>
            <w:tcW w:w="1428" w:type="dxa"/>
            <w:vAlign w:val="center"/>
          </w:tcPr>
          <w:p w14:paraId="0CCFF531">
            <w:pPr>
              <w:jc w:val="left"/>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长安大学</w:t>
            </w:r>
          </w:p>
        </w:tc>
        <w:tc>
          <w:tcPr>
            <w:tcW w:w="1901" w:type="dxa"/>
            <w:vAlign w:val="center"/>
          </w:tcPr>
          <w:p w14:paraId="20FE00E4">
            <w:pPr>
              <w:jc w:val="left"/>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负责催化材料开发和机理验证；代表性论文[1]共同第一作者、论文[2]参与作者。</w:t>
            </w:r>
          </w:p>
        </w:tc>
      </w:tr>
      <w:tr w14:paraId="68E0E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jc w:val="center"/>
        </w:trPr>
        <w:tc>
          <w:tcPr>
            <w:tcW w:w="849" w:type="dxa"/>
            <w:vAlign w:val="center"/>
          </w:tcPr>
          <w:p w14:paraId="5E86BC3D">
            <w:pPr>
              <w:jc w:val="center"/>
              <w:rPr>
                <w:rFonts w:ascii="Times New Roman" w:hAnsi="Times New Roman" w:eastAsia="宋体" w:cs="Times New Roman"/>
                <w:bCs/>
                <w:color w:val="000000" w:themeColor="text1"/>
                <w:szCs w:val="21"/>
                <w14:textFill>
                  <w14:solidFill>
                    <w14:schemeClr w14:val="tx1"/>
                  </w14:solidFill>
                </w14:textFill>
              </w:rPr>
            </w:pPr>
            <w:r>
              <w:rPr>
                <w:bCs/>
              </w:rPr>
              <w:t>张香平</w:t>
            </w:r>
          </w:p>
        </w:tc>
        <w:tc>
          <w:tcPr>
            <w:tcW w:w="686" w:type="dxa"/>
            <w:vAlign w:val="center"/>
          </w:tcPr>
          <w:p w14:paraId="71F0522A">
            <w:pPr>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3</w:t>
            </w:r>
          </w:p>
        </w:tc>
        <w:tc>
          <w:tcPr>
            <w:tcW w:w="1774" w:type="dxa"/>
            <w:vAlign w:val="center"/>
          </w:tcPr>
          <w:p w14:paraId="2B8D0594">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化学工程与环境学院院长</w:t>
            </w:r>
          </w:p>
        </w:tc>
        <w:tc>
          <w:tcPr>
            <w:tcW w:w="1400" w:type="dxa"/>
            <w:vAlign w:val="center"/>
          </w:tcPr>
          <w:p w14:paraId="5C1BBD08">
            <w:pPr>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教授</w:t>
            </w:r>
          </w:p>
        </w:tc>
        <w:tc>
          <w:tcPr>
            <w:tcW w:w="1707" w:type="dxa"/>
            <w:vAlign w:val="center"/>
          </w:tcPr>
          <w:p w14:paraId="2F2FB393">
            <w:pPr>
              <w:jc w:val="left"/>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中国石油大学（北京）</w:t>
            </w:r>
          </w:p>
        </w:tc>
        <w:tc>
          <w:tcPr>
            <w:tcW w:w="1428" w:type="dxa"/>
            <w:vAlign w:val="center"/>
          </w:tcPr>
          <w:p w14:paraId="5408D5CF">
            <w:pPr>
              <w:jc w:val="left"/>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中国石油大学（北京）</w:t>
            </w:r>
          </w:p>
        </w:tc>
        <w:tc>
          <w:tcPr>
            <w:tcW w:w="1901" w:type="dxa"/>
            <w:vAlign w:val="center"/>
          </w:tcPr>
          <w:p w14:paraId="71FF4402">
            <w:pPr>
              <w:jc w:val="left"/>
              <w:rPr>
                <w:rFonts w:ascii="Times New Roman" w:hAnsi="Times New Roman" w:eastAsia="宋体" w:cs="Times New Roman"/>
                <w:bCs/>
                <w:color w:val="000000" w:themeColor="text1"/>
                <w:szCs w:val="21"/>
                <w14:textFill>
                  <w14:solidFill>
                    <w14:schemeClr w14:val="tx1"/>
                  </w14:solidFill>
                </w14:textFill>
              </w:rPr>
            </w:pPr>
            <w:r>
              <w:rPr>
                <w:rFonts w:hint="eastAsia"/>
                <w:bCs/>
                <w:szCs w:val="20"/>
              </w:rPr>
              <w:t>负责催化材料开发、性能表征和机理验证；代表性论文[3]共同通讯作者。</w:t>
            </w:r>
          </w:p>
        </w:tc>
      </w:tr>
      <w:tr w14:paraId="0D8ED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jc w:val="center"/>
        </w:trPr>
        <w:tc>
          <w:tcPr>
            <w:tcW w:w="849" w:type="dxa"/>
            <w:vAlign w:val="center"/>
          </w:tcPr>
          <w:p w14:paraId="178F2302">
            <w:pPr>
              <w:jc w:val="center"/>
              <w:rPr>
                <w:rFonts w:ascii="Times New Roman" w:hAnsi="Times New Roman" w:eastAsia="宋体" w:cs="Times New Roman"/>
                <w:bCs/>
                <w:color w:val="000000" w:themeColor="text1"/>
                <w:szCs w:val="21"/>
                <w14:textFill>
                  <w14:solidFill>
                    <w14:schemeClr w14:val="tx1"/>
                  </w14:solidFill>
                </w14:textFill>
              </w:rPr>
            </w:pPr>
            <w:r>
              <w:rPr>
                <w:bCs/>
              </w:rPr>
              <w:t>罗钰</w:t>
            </w:r>
          </w:p>
        </w:tc>
        <w:tc>
          <w:tcPr>
            <w:tcW w:w="686" w:type="dxa"/>
            <w:vAlign w:val="center"/>
          </w:tcPr>
          <w:p w14:paraId="693EC669">
            <w:pPr>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4</w:t>
            </w:r>
          </w:p>
        </w:tc>
        <w:tc>
          <w:tcPr>
            <w:tcW w:w="1774" w:type="dxa"/>
            <w:vAlign w:val="center"/>
          </w:tcPr>
          <w:p w14:paraId="284E9D50">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无</w:t>
            </w:r>
          </w:p>
        </w:tc>
        <w:tc>
          <w:tcPr>
            <w:tcW w:w="1400" w:type="dxa"/>
            <w:vAlign w:val="center"/>
          </w:tcPr>
          <w:p w14:paraId="6AF5C081">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高级工程师</w:t>
            </w:r>
          </w:p>
        </w:tc>
        <w:tc>
          <w:tcPr>
            <w:tcW w:w="1707" w:type="dxa"/>
            <w:vAlign w:val="center"/>
          </w:tcPr>
          <w:p w14:paraId="70E708C6">
            <w:pPr>
              <w:jc w:val="left"/>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长安大学</w:t>
            </w:r>
          </w:p>
        </w:tc>
        <w:tc>
          <w:tcPr>
            <w:tcW w:w="1428" w:type="dxa"/>
            <w:vAlign w:val="center"/>
          </w:tcPr>
          <w:p w14:paraId="6A489421">
            <w:pPr>
              <w:jc w:val="left"/>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长安大学</w:t>
            </w:r>
          </w:p>
        </w:tc>
        <w:tc>
          <w:tcPr>
            <w:tcW w:w="1901" w:type="dxa"/>
            <w:vAlign w:val="center"/>
          </w:tcPr>
          <w:p w14:paraId="7D67AE18">
            <w:pPr>
              <w:jc w:val="left"/>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负责催化材料开发、性能表征和机理验证；代表性论文[5]共同通讯作者。</w:t>
            </w:r>
          </w:p>
        </w:tc>
      </w:tr>
      <w:tr w14:paraId="552F9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jc w:val="center"/>
        </w:trPr>
        <w:tc>
          <w:tcPr>
            <w:tcW w:w="849" w:type="dxa"/>
            <w:vAlign w:val="center"/>
          </w:tcPr>
          <w:p w14:paraId="3B9F1A4E">
            <w:pPr>
              <w:jc w:val="center"/>
              <w:rPr>
                <w:rFonts w:ascii="Times New Roman" w:hAnsi="Times New Roman" w:eastAsia="宋体" w:cs="Times New Roman"/>
                <w:bCs/>
                <w:color w:val="000000" w:themeColor="text1"/>
                <w:szCs w:val="21"/>
                <w14:textFill>
                  <w14:solidFill>
                    <w14:schemeClr w14:val="tx1"/>
                  </w14:solidFill>
                </w14:textFill>
              </w:rPr>
            </w:pPr>
            <w:r>
              <w:rPr>
                <w:bCs/>
              </w:rPr>
              <w:t>杨晓伟</w:t>
            </w:r>
          </w:p>
        </w:tc>
        <w:tc>
          <w:tcPr>
            <w:tcW w:w="686" w:type="dxa"/>
            <w:vAlign w:val="center"/>
          </w:tcPr>
          <w:p w14:paraId="61C0FC66">
            <w:pPr>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5</w:t>
            </w:r>
          </w:p>
        </w:tc>
        <w:tc>
          <w:tcPr>
            <w:tcW w:w="1774" w:type="dxa"/>
            <w:vAlign w:val="center"/>
          </w:tcPr>
          <w:p w14:paraId="439FBBA2">
            <w:pPr>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太原理工大学学术副校长</w:t>
            </w:r>
          </w:p>
        </w:tc>
        <w:tc>
          <w:tcPr>
            <w:tcW w:w="1400" w:type="dxa"/>
            <w:vAlign w:val="center"/>
          </w:tcPr>
          <w:p w14:paraId="61EE02E0">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教授</w:t>
            </w:r>
          </w:p>
        </w:tc>
        <w:tc>
          <w:tcPr>
            <w:tcW w:w="1707" w:type="dxa"/>
            <w:vAlign w:val="center"/>
          </w:tcPr>
          <w:p w14:paraId="02F14117">
            <w:pPr>
              <w:jc w:val="left"/>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同济大学</w:t>
            </w:r>
          </w:p>
        </w:tc>
        <w:tc>
          <w:tcPr>
            <w:tcW w:w="1428" w:type="dxa"/>
            <w:vAlign w:val="center"/>
          </w:tcPr>
          <w:p w14:paraId="7C5AD08A">
            <w:pPr>
              <w:jc w:val="left"/>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同济大学</w:t>
            </w:r>
          </w:p>
        </w:tc>
        <w:tc>
          <w:tcPr>
            <w:tcW w:w="1901" w:type="dxa"/>
            <w:vAlign w:val="center"/>
          </w:tcPr>
          <w:p w14:paraId="42FF3F63">
            <w:pPr>
              <w:jc w:val="left"/>
              <w:rPr>
                <w:rFonts w:ascii="Times New Roman" w:hAnsi="Times New Roman" w:eastAsia="宋体" w:cs="Times New Roman"/>
                <w:bCs/>
                <w:color w:val="000000" w:themeColor="text1"/>
                <w:szCs w:val="21"/>
                <w14:textFill>
                  <w14:solidFill>
                    <w14:schemeClr w14:val="tx1"/>
                  </w14:solidFill>
                </w14:textFill>
              </w:rPr>
            </w:pPr>
            <w:r>
              <w:rPr>
                <w:bCs/>
                <w:szCs w:val="20"/>
              </w:rPr>
              <w:t>负责催化材料实验和机理验证；代表性论文[4]共同通讯作者，参与研究指导。</w:t>
            </w:r>
          </w:p>
        </w:tc>
      </w:tr>
      <w:tr w14:paraId="0FEE6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jc w:val="center"/>
        </w:trPr>
        <w:tc>
          <w:tcPr>
            <w:tcW w:w="849" w:type="dxa"/>
            <w:vAlign w:val="center"/>
          </w:tcPr>
          <w:p w14:paraId="1CB83F2A">
            <w:pPr>
              <w:jc w:val="center"/>
              <w:rPr>
                <w:rFonts w:ascii="Times New Roman" w:hAnsi="Times New Roman" w:eastAsia="宋体" w:cs="Times New Roman"/>
                <w:bCs/>
                <w:color w:val="000000" w:themeColor="text1"/>
                <w:szCs w:val="21"/>
                <w14:textFill>
                  <w14:solidFill>
                    <w14:schemeClr w14:val="tx1"/>
                  </w14:solidFill>
                </w14:textFill>
              </w:rPr>
            </w:pPr>
            <w:r>
              <w:rPr>
                <w:bCs/>
              </w:rPr>
              <w:t>张振磊</w:t>
            </w:r>
          </w:p>
        </w:tc>
        <w:tc>
          <w:tcPr>
            <w:tcW w:w="686" w:type="dxa"/>
            <w:vAlign w:val="center"/>
          </w:tcPr>
          <w:p w14:paraId="635C028D">
            <w:pPr>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6</w:t>
            </w:r>
          </w:p>
        </w:tc>
        <w:tc>
          <w:tcPr>
            <w:tcW w:w="1774" w:type="dxa"/>
            <w:vAlign w:val="center"/>
          </w:tcPr>
          <w:p w14:paraId="5BDAC253">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无</w:t>
            </w:r>
          </w:p>
        </w:tc>
        <w:tc>
          <w:tcPr>
            <w:tcW w:w="1400" w:type="dxa"/>
            <w:vAlign w:val="center"/>
          </w:tcPr>
          <w:p w14:paraId="725DC197">
            <w:pPr>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副教授</w:t>
            </w:r>
          </w:p>
        </w:tc>
        <w:tc>
          <w:tcPr>
            <w:tcW w:w="1707" w:type="dxa"/>
            <w:vAlign w:val="center"/>
          </w:tcPr>
          <w:p w14:paraId="11D8BD16">
            <w:pPr>
              <w:rPr>
                <w:rFonts w:ascii="Times New Roman" w:hAnsi="Times New Roman" w:eastAsia="宋体" w:cs="Times New Roman"/>
                <w:bCs/>
                <w:color w:val="000000" w:themeColor="text1"/>
                <w:szCs w:val="21"/>
                <w14:textFill>
                  <w14:solidFill>
                    <w14:schemeClr w14:val="tx1"/>
                  </w14:solidFill>
                </w14:textFill>
              </w:rPr>
            </w:pPr>
            <w:r>
              <w:rPr>
                <w:rFonts w:hint="eastAsia"/>
                <w:bCs/>
                <w:szCs w:val="20"/>
              </w:rPr>
              <w:t>中国石油大学（北京）</w:t>
            </w:r>
          </w:p>
        </w:tc>
        <w:tc>
          <w:tcPr>
            <w:tcW w:w="1428" w:type="dxa"/>
            <w:vAlign w:val="center"/>
          </w:tcPr>
          <w:p w14:paraId="42DAB8F4">
            <w:pPr>
              <w:rPr>
                <w:rFonts w:ascii="Times New Roman" w:hAnsi="Times New Roman" w:eastAsia="宋体" w:cs="Times New Roman"/>
                <w:bCs/>
                <w:color w:val="000000" w:themeColor="text1"/>
                <w:szCs w:val="21"/>
                <w14:textFill>
                  <w14:solidFill>
                    <w14:schemeClr w14:val="tx1"/>
                  </w14:solidFill>
                </w14:textFill>
              </w:rPr>
            </w:pPr>
            <w:r>
              <w:rPr>
                <w:rFonts w:hint="eastAsia"/>
                <w:bCs/>
                <w:szCs w:val="20"/>
              </w:rPr>
              <w:t>中国石油大学（北京）</w:t>
            </w:r>
          </w:p>
        </w:tc>
        <w:tc>
          <w:tcPr>
            <w:tcW w:w="1901" w:type="dxa"/>
            <w:vAlign w:val="center"/>
          </w:tcPr>
          <w:p w14:paraId="5BF638D0">
            <w:pPr>
              <w:rPr>
                <w:rFonts w:ascii="Times New Roman" w:hAnsi="Times New Roman" w:eastAsia="宋体" w:cs="Times New Roman"/>
                <w:bCs/>
                <w:color w:val="000000" w:themeColor="text1"/>
                <w:szCs w:val="21"/>
                <w14:textFill>
                  <w14:solidFill>
                    <w14:schemeClr w14:val="tx1"/>
                  </w14:solidFill>
                </w14:textFill>
              </w:rPr>
            </w:pPr>
            <w:r>
              <w:rPr>
                <w:rFonts w:hint="eastAsia"/>
                <w:bCs/>
                <w:szCs w:val="20"/>
              </w:rPr>
              <w:t>负责催化材料开发、性能表征和机理验证；代表性论文[3]共同第一作者。</w:t>
            </w:r>
          </w:p>
        </w:tc>
      </w:tr>
    </w:tbl>
    <w:p w14:paraId="488D328D">
      <w:pPr>
        <w:spacing w:line="360" w:lineRule="auto"/>
        <w:ind w:firstLine="420" w:firstLineChars="200"/>
        <w:rPr>
          <w:rFonts w:hint="eastAsia" w:asciiTheme="minorEastAsia" w:hAnsiTheme="minorEastAsia" w:cstheme="minorEastAsia"/>
          <w:szCs w:val="21"/>
        </w:rPr>
      </w:pPr>
    </w:p>
    <w:p w14:paraId="6BD935D8">
      <w:pPr>
        <w:spacing w:line="360" w:lineRule="auto"/>
        <w:ind w:firstLine="420" w:firstLineChars="200"/>
        <w:rPr>
          <w:rFonts w:hint="eastAsia" w:asciiTheme="minorEastAsia" w:hAnsiTheme="minorEastAsia" w:cstheme="minorEastAsia"/>
          <w:szCs w:val="21"/>
        </w:rPr>
      </w:pPr>
    </w:p>
    <w:p w14:paraId="06F38B85">
      <w:pPr>
        <w:spacing w:line="360" w:lineRule="auto"/>
        <w:ind w:firstLine="420" w:firstLineChars="200"/>
        <w:rPr>
          <w:rFonts w:hint="eastAsia" w:asciiTheme="minorEastAsia" w:hAnsiTheme="minorEastAsia" w:cstheme="minorEastAsia"/>
          <w:szCs w:val="21"/>
        </w:rPr>
      </w:pPr>
    </w:p>
    <w:p w14:paraId="483C1E18">
      <w:pPr>
        <w:pStyle w:val="11"/>
        <w:pageBreakBefor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九、主要完成单位情况及创新推广贡献</w:t>
      </w:r>
    </w:p>
    <w:tbl>
      <w:tblPr>
        <w:tblStyle w:val="14"/>
        <w:tblW w:w="92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4"/>
        <w:gridCol w:w="708"/>
        <w:gridCol w:w="1701"/>
        <w:gridCol w:w="5032"/>
      </w:tblGrid>
      <w:tr w14:paraId="0BB3F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blHeader/>
          <w:jc w:val="center"/>
        </w:trPr>
        <w:tc>
          <w:tcPr>
            <w:tcW w:w="1844" w:type="dxa"/>
            <w:vAlign w:val="center"/>
          </w:tcPr>
          <w:p w14:paraId="455B6213">
            <w:pPr>
              <w:jc w:val="center"/>
              <w:rPr>
                <w:rFonts w:ascii="Times New Roman" w:hAnsi="Times New Roman" w:eastAsia="宋体" w:cs="Times New Roman"/>
                <w:b/>
                <w:color w:val="000000" w:themeColor="text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名称</w:t>
            </w:r>
          </w:p>
        </w:tc>
        <w:tc>
          <w:tcPr>
            <w:tcW w:w="708" w:type="dxa"/>
            <w:vAlign w:val="center"/>
          </w:tcPr>
          <w:p w14:paraId="5DCE4732">
            <w:pPr>
              <w:jc w:val="center"/>
              <w:rPr>
                <w:rFonts w:ascii="Times New Roman" w:hAnsi="Times New Roman" w:eastAsia="宋体" w:cs="Times New Roman"/>
                <w:b/>
                <w:color w:val="000000" w:themeColor="text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排名</w:t>
            </w:r>
          </w:p>
        </w:tc>
        <w:tc>
          <w:tcPr>
            <w:tcW w:w="1701" w:type="dxa"/>
            <w:vAlign w:val="center"/>
          </w:tcPr>
          <w:p w14:paraId="4D8E3044">
            <w:pPr>
              <w:jc w:val="center"/>
              <w:rPr>
                <w:rFonts w:ascii="Times New Roman" w:hAnsi="Times New Roman" w:eastAsia="宋体" w:cs="Times New Roman"/>
                <w:b/>
                <w:color w:val="000000" w:themeColor="text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联系人及电话</w:t>
            </w:r>
          </w:p>
        </w:tc>
        <w:tc>
          <w:tcPr>
            <w:tcW w:w="5032" w:type="dxa"/>
            <w:vAlign w:val="center"/>
          </w:tcPr>
          <w:p w14:paraId="62DE7825">
            <w:pPr>
              <w:jc w:val="center"/>
              <w:rPr>
                <w:rFonts w:ascii="Times New Roman" w:hAnsi="Times New Roman" w:eastAsia="宋体" w:cs="Times New Roman"/>
                <w:b/>
                <w:color w:val="000000" w:themeColor="text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对本项目的创新推广贡献</w:t>
            </w:r>
          </w:p>
        </w:tc>
      </w:tr>
      <w:tr w14:paraId="22BCE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844" w:type="dxa"/>
            <w:vAlign w:val="center"/>
          </w:tcPr>
          <w:p w14:paraId="12E32683">
            <w:pPr>
              <w:jc w:val="center"/>
              <w:rPr>
                <w:rFonts w:ascii="Times New Roman" w:hAnsi="Times New Roman" w:eastAsia="宋体" w:cs="Times New Roman"/>
                <w:bCs/>
                <w:color w:val="000000" w:themeColor="text1"/>
                <w14:textFill>
                  <w14:solidFill>
                    <w14:schemeClr w14:val="tx1"/>
                  </w14:solidFill>
                </w14:textFill>
              </w:rPr>
            </w:pPr>
            <w:r>
              <w:rPr>
                <w:rFonts w:hint="eastAsia" w:ascii="Times New Roman" w:hAnsi="Times New Roman" w:eastAsia="宋体" w:cs="Times New Roman"/>
                <w:bCs/>
                <w:color w:val="000000" w:themeColor="text1"/>
                <w14:textFill>
                  <w14:solidFill>
                    <w14:schemeClr w14:val="tx1"/>
                  </w14:solidFill>
                </w14:textFill>
              </w:rPr>
              <w:t>长安大学</w:t>
            </w:r>
          </w:p>
        </w:tc>
        <w:tc>
          <w:tcPr>
            <w:tcW w:w="708" w:type="dxa"/>
            <w:vAlign w:val="center"/>
          </w:tcPr>
          <w:p w14:paraId="2F4931D4">
            <w:pPr>
              <w:jc w:val="center"/>
              <w:rPr>
                <w:rFonts w:ascii="Times New Roman" w:hAnsi="Times New Roman" w:eastAsia="宋体" w:cs="Times New Roman"/>
                <w:bCs/>
                <w:color w:val="000000" w:themeColor="text1"/>
                <w14:textFill>
                  <w14:solidFill>
                    <w14:schemeClr w14:val="tx1"/>
                  </w14:solidFill>
                </w14:textFill>
              </w:rPr>
            </w:pPr>
            <w:r>
              <w:rPr>
                <w:rFonts w:hint="eastAsia" w:ascii="Times New Roman" w:hAnsi="Times New Roman" w:eastAsia="宋体" w:cs="Times New Roman"/>
                <w:bCs/>
                <w:color w:val="000000" w:themeColor="text1"/>
                <w14:textFill>
                  <w14:solidFill>
                    <w14:schemeClr w14:val="tx1"/>
                  </w14:solidFill>
                </w14:textFill>
              </w:rPr>
              <w:t>1</w:t>
            </w:r>
          </w:p>
        </w:tc>
        <w:tc>
          <w:tcPr>
            <w:tcW w:w="1701" w:type="dxa"/>
            <w:vAlign w:val="center"/>
          </w:tcPr>
          <w:p w14:paraId="26095B5F">
            <w:pPr>
              <w:jc w:val="center"/>
              <w:rPr>
                <w:rFonts w:ascii="Times New Roman" w:hAnsi="Times New Roman" w:eastAsia="宋体" w:cs="Times New Roman"/>
                <w:bCs/>
                <w:color w:val="000000" w:themeColor="text1"/>
                <w14:textFill>
                  <w14:solidFill>
                    <w14:schemeClr w14:val="tx1"/>
                  </w14:solidFill>
                </w14:textFill>
              </w:rPr>
            </w:pPr>
            <w:r>
              <w:rPr>
                <w:rFonts w:hint="eastAsia" w:ascii="Times New Roman" w:hAnsi="Times New Roman" w:eastAsia="宋体" w:cs="Times New Roman"/>
                <w:bCs/>
                <w:color w:val="000000" w:themeColor="text1"/>
                <w14:textFill>
                  <w14:solidFill>
                    <w14:schemeClr w14:val="tx1"/>
                  </w14:solidFill>
                </w14:textFill>
              </w:rPr>
              <w:t>李宇亮</w:t>
            </w:r>
            <w:r>
              <w:rPr>
                <w:rFonts w:hint="eastAsia" w:ascii="Times New Roman" w:hAnsi="Times New Roman" w:eastAsia="宋体" w:cs="Times New Roman"/>
                <w:bCs/>
                <w:color w:val="000000" w:themeColor="text1"/>
                <w14:textFill>
                  <w14:solidFill>
                    <w14:schemeClr w14:val="tx1"/>
                  </w14:solidFill>
                </w14:textFill>
              </w:rPr>
              <w:br w:type="textWrapping"/>
            </w:r>
            <w:r>
              <w:rPr>
                <w:rFonts w:hint="eastAsia" w:ascii="Times New Roman" w:hAnsi="Times New Roman" w:eastAsia="宋体" w:cs="Times New Roman"/>
                <w:bCs/>
                <w:color w:val="000000" w:themeColor="text1"/>
                <w14:textFill>
                  <w14:solidFill>
                    <w14:schemeClr w14:val="tx1"/>
                  </w14:solidFill>
                </w14:textFill>
              </w:rPr>
              <w:t>13891928683</w:t>
            </w:r>
          </w:p>
        </w:tc>
        <w:tc>
          <w:tcPr>
            <w:tcW w:w="5032" w:type="dxa"/>
            <w:vAlign w:val="center"/>
          </w:tcPr>
          <w:p w14:paraId="50031EAE">
            <w:pPr>
              <w:ind w:firstLine="420" w:firstLineChars="200"/>
              <w:jc w:val="left"/>
              <w:rPr>
                <w:rFonts w:ascii="Times New Roman" w:hAnsi="Times New Roman" w:eastAsia="宋体" w:cs="Times New Roman"/>
                <w:bCs/>
                <w:color w:val="000000" w:themeColor="text1"/>
                <w14:textFill>
                  <w14:solidFill>
                    <w14:schemeClr w14:val="tx1"/>
                  </w14:solidFill>
                </w14:textFill>
              </w:rPr>
            </w:pPr>
            <w:r>
              <w:rPr>
                <w:rFonts w:hint="eastAsia" w:ascii="Times New Roman" w:hAnsi="Times New Roman" w:eastAsia="宋体" w:cs="Times New Roman"/>
                <w:bCs/>
                <w:color w:val="000000" w:themeColor="text1"/>
                <w14:textFill>
                  <w14:solidFill>
                    <w14:schemeClr w14:val="tx1"/>
                  </w14:solidFill>
                </w14:textFill>
              </w:rPr>
              <w:t>依托单位长安大学是该项目的第一完成单位，全面负责确定项目总体思路，统筹项目研发进度与协调参与单位资源等事宜，主要贡献为：</w:t>
            </w:r>
            <w:r>
              <w:rPr>
                <w:rFonts w:hint="eastAsia" w:ascii="Times New Roman" w:hAnsi="Times New Roman" w:eastAsia="宋体" w:cs="Times New Roman"/>
                <w:bCs/>
                <w:color w:val="000000" w:themeColor="text1"/>
                <w14:textFill>
                  <w14:solidFill>
                    <w14:schemeClr w14:val="tx1"/>
                  </w14:solidFill>
                </w14:textFill>
              </w:rPr>
              <w:br w:type="textWrapping"/>
            </w:r>
            <w:r>
              <w:rPr>
                <w:rFonts w:hint="eastAsia" w:ascii="Times New Roman" w:hAnsi="Times New Roman" w:eastAsia="宋体" w:cs="Times New Roman"/>
                <w:bCs/>
                <w:color w:val="000000" w:themeColor="text1"/>
                <w14:textFill>
                  <w14:solidFill>
                    <w14:schemeClr w14:val="tx1"/>
                  </w14:solidFill>
                </w14:textFill>
              </w:rPr>
              <w:t>（1）负责项目整体思路凝练与技术路线设计，组织制定可行的研究方案；</w:t>
            </w:r>
            <w:r>
              <w:rPr>
                <w:rFonts w:hint="eastAsia" w:ascii="Times New Roman" w:hAnsi="Times New Roman" w:eastAsia="宋体" w:cs="Times New Roman"/>
                <w:bCs/>
                <w:color w:val="000000" w:themeColor="text1"/>
                <w14:textFill>
                  <w14:solidFill>
                    <w14:schemeClr w14:val="tx1"/>
                  </w14:solidFill>
                </w14:textFill>
              </w:rPr>
              <w:br w:type="textWrapping"/>
            </w:r>
            <w:r>
              <w:rPr>
                <w:rFonts w:hint="eastAsia" w:ascii="Times New Roman" w:hAnsi="Times New Roman" w:eastAsia="宋体" w:cs="Times New Roman"/>
                <w:bCs/>
                <w:color w:val="000000" w:themeColor="text1"/>
                <w14:textFill>
                  <w14:solidFill>
                    <w14:schemeClr w14:val="tx1"/>
                  </w14:solidFill>
                </w14:textFill>
              </w:rPr>
              <w:t>（2）负责组织管理项目的进度，分配研究任务，协调参与单位间的资源使用；</w:t>
            </w:r>
            <w:r>
              <w:rPr>
                <w:rFonts w:hint="eastAsia" w:ascii="Times New Roman" w:hAnsi="Times New Roman" w:eastAsia="宋体" w:cs="Times New Roman"/>
                <w:bCs/>
                <w:color w:val="000000" w:themeColor="text1"/>
                <w14:textFill>
                  <w14:solidFill>
                    <w14:schemeClr w14:val="tx1"/>
                  </w14:solidFill>
                </w14:textFill>
              </w:rPr>
              <w:br w:type="textWrapping"/>
            </w:r>
            <w:r>
              <w:rPr>
                <w:rFonts w:hint="eastAsia" w:ascii="Times New Roman" w:hAnsi="Times New Roman" w:eastAsia="宋体" w:cs="Times New Roman"/>
                <w:bCs/>
                <w:color w:val="000000" w:themeColor="text1"/>
                <w14:textFill>
                  <w14:solidFill>
                    <w14:schemeClr w14:val="tx1"/>
                  </w14:solidFill>
                </w14:textFill>
              </w:rPr>
              <w:t>（3）提供良好的实验平台保障，发挥参与单位优势特色，组织进行成果客观评价。</w:t>
            </w:r>
          </w:p>
        </w:tc>
      </w:tr>
      <w:tr w14:paraId="60060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3" w:hRule="atLeast"/>
          <w:jc w:val="center"/>
        </w:trPr>
        <w:tc>
          <w:tcPr>
            <w:tcW w:w="1844" w:type="dxa"/>
            <w:vAlign w:val="center"/>
          </w:tcPr>
          <w:p w14:paraId="448B8245">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中国石油大学（北京）</w:t>
            </w:r>
          </w:p>
        </w:tc>
        <w:tc>
          <w:tcPr>
            <w:tcW w:w="708" w:type="dxa"/>
            <w:vAlign w:val="center"/>
          </w:tcPr>
          <w:p w14:paraId="37116450">
            <w:pPr>
              <w:jc w:val="center"/>
              <w:rPr>
                <w:rFonts w:ascii="Times New Roman" w:hAnsi="Times New Roman" w:eastAsia="宋体" w:cs="Times New Roman"/>
                <w:bCs/>
                <w:color w:val="000000" w:themeColor="text1"/>
                <w14:textFill>
                  <w14:solidFill>
                    <w14:schemeClr w14:val="tx1"/>
                  </w14:solidFill>
                </w14:textFill>
              </w:rPr>
            </w:pPr>
            <w:r>
              <w:rPr>
                <w:rFonts w:hint="eastAsia" w:ascii="Times New Roman" w:hAnsi="Times New Roman" w:eastAsia="宋体" w:cs="Times New Roman"/>
                <w:bCs/>
                <w:color w:val="000000" w:themeColor="text1"/>
                <w14:textFill>
                  <w14:solidFill>
                    <w14:schemeClr w14:val="tx1"/>
                  </w14:solidFill>
                </w14:textFill>
              </w:rPr>
              <w:t>2</w:t>
            </w:r>
          </w:p>
        </w:tc>
        <w:tc>
          <w:tcPr>
            <w:tcW w:w="1701" w:type="dxa"/>
            <w:vAlign w:val="center"/>
          </w:tcPr>
          <w:p w14:paraId="31422356">
            <w:pPr>
              <w:jc w:val="center"/>
              <w:rPr>
                <w:rFonts w:hint="eastAsia" w:ascii="Times New Roman" w:hAnsi="Times New Roman" w:eastAsia="宋体" w:cs="Times New Roman"/>
                <w:bCs/>
                <w:color w:val="000000" w:themeColor="text1"/>
                <w14:textFill>
                  <w14:solidFill>
                    <w14:schemeClr w14:val="tx1"/>
                  </w14:solidFill>
                </w14:textFill>
              </w:rPr>
            </w:pPr>
            <w:r>
              <w:rPr>
                <w:rFonts w:hint="eastAsia" w:ascii="Times New Roman" w:hAnsi="Times New Roman" w:eastAsia="宋体" w:cs="Times New Roman"/>
                <w:bCs/>
                <w:color w:val="000000" w:themeColor="text1"/>
                <w14:textFill>
                  <w14:solidFill>
                    <w14:schemeClr w14:val="tx1"/>
                  </w14:solidFill>
                </w14:textFill>
              </w:rPr>
              <w:t>张振磊18813135166</w:t>
            </w:r>
          </w:p>
        </w:tc>
        <w:tc>
          <w:tcPr>
            <w:tcW w:w="5032" w:type="dxa"/>
            <w:vAlign w:val="center"/>
          </w:tcPr>
          <w:p w14:paraId="51525EA7">
            <w:pPr>
              <w:ind w:firstLine="420" w:firstLineChars="200"/>
              <w:jc w:val="left"/>
              <w:rPr>
                <w:rFonts w:ascii="Times New Roman" w:hAnsi="Times New Roman" w:eastAsia="宋体" w:cs="Times New Roman"/>
                <w:bCs/>
                <w:color w:val="000000" w:themeColor="text1"/>
                <w14:textFill>
                  <w14:solidFill>
                    <w14:schemeClr w14:val="tx1"/>
                  </w14:solidFill>
                </w14:textFill>
              </w:rPr>
            </w:pPr>
            <w:r>
              <w:rPr>
                <w:rFonts w:hint="eastAsia" w:ascii="Times New Roman" w:hAnsi="Times New Roman" w:eastAsia="宋体" w:cs="Times New Roman"/>
                <w:bCs/>
                <w:color w:val="000000" w:themeColor="text1"/>
                <w14:textFill>
                  <w14:solidFill>
                    <w14:schemeClr w14:val="tx1"/>
                  </w14:solidFill>
                </w14:textFill>
              </w:rPr>
              <w:t>中国石油大学（北京）是该项目的主要参与单位之一，根据项目总体研究部署承担相关研究任务，主要贡献为：</w:t>
            </w:r>
            <w:r>
              <w:rPr>
                <w:rFonts w:hint="eastAsia" w:ascii="Times New Roman" w:hAnsi="Times New Roman" w:eastAsia="宋体" w:cs="Times New Roman"/>
                <w:bCs/>
                <w:color w:val="000000" w:themeColor="text1"/>
                <w14:textFill>
                  <w14:solidFill>
                    <w14:schemeClr w14:val="tx1"/>
                  </w14:solidFill>
                </w14:textFill>
              </w:rPr>
              <w:br w:type="textWrapping"/>
            </w:r>
            <w:r>
              <w:rPr>
                <w:rFonts w:hint="eastAsia" w:ascii="Times New Roman" w:hAnsi="Times New Roman" w:eastAsia="宋体" w:cs="Times New Roman"/>
                <w:bCs/>
                <w:color w:val="000000" w:themeColor="text1"/>
                <w14:textFill>
                  <w14:solidFill>
                    <w14:schemeClr w14:val="tx1"/>
                  </w14:solidFill>
                </w14:textFill>
              </w:rPr>
              <w:t>（1）针对项目研究涉及的关键科学问题，开展相关光催化反应及生物质资源高值转化研究，承担相应实验研究和技术验证工作；</w:t>
            </w:r>
            <w:r>
              <w:rPr>
                <w:rFonts w:hint="eastAsia" w:ascii="Times New Roman" w:hAnsi="Times New Roman" w:eastAsia="宋体" w:cs="Times New Roman"/>
                <w:bCs/>
                <w:color w:val="000000" w:themeColor="text1"/>
                <w14:textFill>
                  <w14:solidFill>
                    <w14:schemeClr w14:val="tx1"/>
                  </w14:solidFill>
                </w14:textFill>
              </w:rPr>
              <w:br w:type="textWrapping"/>
            </w:r>
            <w:r>
              <w:rPr>
                <w:rFonts w:hint="eastAsia" w:ascii="Times New Roman" w:hAnsi="Times New Roman" w:eastAsia="宋体" w:cs="Times New Roman"/>
                <w:bCs/>
                <w:color w:val="000000" w:themeColor="text1"/>
                <w14:textFill>
                  <w14:solidFill>
                    <w14:schemeClr w14:val="tx1"/>
                  </w14:solidFill>
                </w14:textFill>
              </w:rPr>
              <w:t>（2）发挥本单位在催化材料制备、反应过程调控及产物分析等方面的研究基础，完成相关实验研究与性能评价，为项目研究成果的可靠性和完整性提供支撑；</w:t>
            </w:r>
            <w:r>
              <w:rPr>
                <w:rFonts w:hint="eastAsia" w:ascii="Times New Roman" w:hAnsi="Times New Roman" w:eastAsia="宋体" w:cs="Times New Roman"/>
                <w:bCs/>
                <w:color w:val="000000" w:themeColor="text1"/>
                <w14:textFill>
                  <w14:solidFill>
                    <w14:schemeClr w14:val="tx1"/>
                  </w14:solidFill>
                </w14:textFill>
              </w:rPr>
              <w:br w:type="textWrapping"/>
            </w:r>
            <w:r>
              <w:rPr>
                <w:rFonts w:hint="eastAsia" w:ascii="Times New Roman" w:hAnsi="Times New Roman" w:eastAsia="宋体" w:cs="Times New Roman"/>
                <w:bCs/>
                <w:color w:val="000000" w:themeColor="text1"/>
                <w14:textFill>
                  <w14:solidFill>
                    <w14:schemeClr w14:val="tx1"/>
                  </w14:solidFill>
                </w14:textFill>
              </w:rPr>
              <w:t>（3）参与项目研究成果的分析、总结与评价，协同开展相关论文、专利及其他成果的形成，为项目总体目标的实现提供科研支撑。</w:t>
            </w:r>
          </w:p>
        </w:tc>
      </w:tr>
      <w:tr w14:paraId="24EBC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1844" w:type="dxa"/>
            <w:vAlign w:val="center"/>
          </w:tcPr>
          <w:p w14:paraId="6145E5A1">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同济大学</w:t>
            </w:r>
          </w:p>
        </w:tc>
        <w:tc>
          <w:tcPr>
            <w:tcW w:w="708" w:type="dxa"/>
            <w:vAlign w:val="center"/>
          </w:tcPr>
          <w:p w14:paraId="51874E05">
            <w:pPr>
              <w:jc w:val="center"/>
              <w:rPr>
                <w:rFonts w:ascii="Times New Roman" w:hAnsi="Times New Roman" w:eastAsia="宋体" w:cs="Times New Roman"/>
                <w:bCs/>
                <w:color w:val="000000" w:themeColor="text1"/>
                <w14:textFill>
                  <w14:solidFill>
                    <w14:schemeClr w14:val="tx1"/>
                  </w14:solidFill>
                </w14:textFill>
              </w:rPr>
            </w:pPr>
            <w:r>
              <w:rPr>
                <w:rFonts w:hint="eastAsia" w:ascii="Times New Roman" w:hAnsi="Times New Roman" w:eastAsia="宋体" w:cs="Times New Roman"/>
                <w:bCs/>
                <w:color w:val="000000" w:themeColor="text1"/>
                <w14:textFill>
                  <w14:solidFill>
                    <w14:schemeClr w14:val="tx1"/>
                  </w14:solidFill>
                </w14:textFill>
              </w:rPr>
              <w:t>3</w:t>
            </w:r>
          </w:p>
        </w:tc>
        <w:tc>
          <w:tcPr>
            <w:tcW w:w="1701" w:type="dxa"/>
            <w:vAlign w:val="center"/>
          </w:tcPr>
          <w:p w14:paraId="4EC8EB4F">
            <w:pPr>
              <w:jc w:val="center"/>
              <w:rPr>
                <w:rFonts w:ascii="Times New Roman" w:hAnsi="Times New Roman" w:eastAsia="宋体" w:cs="Times New Roman"/>
                <w:bCs/>
                <w:color w:val="000000" w:themeColor="text1"/>
                <w14:textFill>
                  <w14:solidFill>
                    <w14:schemeClr w14:val="tx1"/>
                  </w14:solidFill>
                </w14:textFill>
              </w:rPr>
            </w:pPr>
            <w:r>
              <w:rPr>
                <w:rFonts w:hint="eastAsia" w:ascii="Times New Roman" w:hAnsi="Times New Roman" w:eastAsia="宋体" w:cs="Times New Roman"/>
                <w:bCs/>
                <w:color w:val="000000" w:themeColor="text1"/>
                <w14:textFill>
                  <w14:solidFill>
                    <w14:schemeClr w14:val="tx1"/>
                  </w14:solidFill>
                </w14:textFill>
              </w:rPr>
              <w:t>杨晓伟</w:t>
            </w:r>
            <w:r>
              <w:rPr>
                <w:rFonts w:hint="eastAsia" w:ascii="Times New Roman" w:hAnsi="Times New Roman" w:eastAsia="宋体" w:cs="Times New Roman"/>
                <w:bCs/>
                <w:color w:val="000000" w:themeColor="text1"/>
                <w14:textFill>
                  <w14:solidFill>
                    <w14:schemeClr w14:val="tx1"/>
                  </w14:solidFill>
                </w14:textFill>
              </w:rPr>
              <w:br w:type="textWrapping"/>
            </w:r>
            <w:r>
              <w:rPr>
                <w:rFonts w:hint="eastAsia" w:ascii="Times New Roman" w:hAnsi="Times New Roman" w:eastAsia="宋体" w:cs="Times New Roman"/>
                <w:bCs/>
                <w:color w:val="000000" w:themeColor="text1"/>
                <w14:textFill>
                  <w14:solidFill>
                    <w14:schemeClr w14:val="tx1"/>
                  </w14:solidFill>
                </w14:textFill>
              </w:rPr>
              <w:t>13585566895</w:t>
            </w:r>
          </w:p>
        </w:tc>
        <w:tc>
          <w:tcPr>
            <w:tcW w:w="5032" w:type="dxa"/>
            <w:vAlign w:val="center"/>
          </w:tcPr>
          <w:p w14:paraId="0CF81935">
            <w:pPr>
              <w:ind w:firstLine="420" w:firstLineChars="200"/>
              <w:jc w:val="left"/>
              <w:rPr>
                <w:rFonts w:ascii="Times New Roman" w:hAnsi="Times New Roman" w:eastAsia="宋体" w:cs="Times New Roman"/>
                <w:bCs/>
                <w:color w:val="000000" w:themeColor="text1"/>
                <w14:textFill>
                  <w14:solidFill>
                    <w14:schemeClr w14:val="tx1"/>
                  </w14:solidFill>
                </w14:textFill>
              </w:rPr>
            </w:pPr>
            <w:r>
              <w:rPr>
                <w:rFonts w:hint="eastAsia" w:ascii="Times New Roman" w:hAnsi="Times New Roman" w:eastAsia="宋体" w:cs="Times New Roman"/>
                <w:bCs/>
                <w:color w:val="000000" w:themeColor="text1"/>
                <w14:textFill>
                  <w14:solidFill>
                    <w14:schemeClr w14:val="tx1"/>
                  </w14:solidFill>
                </w14:textFill>
              </w:rPr>
              <w:t>同济大学是该项目的主要参与单位之一，围绕项目总体研究目标承担了相关科学问题的研究与技术攻关，主要贡献为：</w:t>
            </w:r>
            <w:r>
              <w:rPr>
                <w:rFonts w:hint="eastAsia" w:ascii="Times New Roman" w:hAnsi="Times New Roman" w:eastAsia="宋体" w:cs="Times New Roman"/>
                <w:bCs/>
                <w:color w:val="000000" w:themeColor="text1"/>
                <w14:textFill>
                  <w14:solidFill>
                    <w14:schemeClr w14:val="tx1"/>
                  </w14:solidFill>
                </w14:textFill>
              </w:rPr>
              <w:br w:type="textWrapping"/>
            </w:r>
            <w:r>
              <w:rPr>
                <w:rFonts w:hint="eastAsia" w:ascii="Times New Roman" w:hAnsi="Times New Roman" w:eastAsia="宋体" w:cs="Times New Roman"/>
                <w:bCs/>
                <w:color w:val="000000" w:themeColor="text1"/>
                <w14:textFill>
                  <w14:solidFill>
                    <w14:schemeClr w14:val="tx1"/>
                  </w14:solidFill>
                </w14:textFill>
              </w:rPr>
              <w:t>（1）围绕项目核心科学问题，承担相关研究任务，开展光催化材料构筑、界面调控及反应机制研究，为项目关键科学问题的解决提供理论与实验依据；</w:t>
            </w:r>
            <w:r>
              <w:rPr>
                <w:rFonts w:hint="eastAsia" w:ascii="Times New Roman" w:hAnsi="Times New Roman" w:eastAsia="宋体" w:cs="Times New Roman"/>
                <w:bCs/>
                <w:color w:val="000000" w:themeColor="text1"/>
                <w14:textFill>
                  <w14:solidFill>
                    <w14:schemeClr w14:val="tx1"/>
                  </w14:solidFill>
                </w14:textFill>
              </w:rPr>
              <w:br w:type="textWrapping"/>
            </w:r>
            <w:r>
              <w:rPr>
                <w:rFonts w:hint="eastAsia" w:ascii="Times New Roman" w:hAnsi="Times New Roman" w:eastAsia="宋体" w:cs="Times New Roman"/>
                <w:bCs/>
                <w:color w:val="000000" w:themeColor="text1"/>
                <w14:textFill>
                  <w14:solidFill>
                    <w14:schemeClr w14:val="tx1"/>
                  </w14:solidFill>
                </w14:textFill>
              </w:rPr>
              <w:t>（2）依托本单位科研平台和技术优势，开展相关催化材料制备、性能评价及机理分析，完成项目承担的研究内容，为项目系列成果的形成提供重要支撑；</w:t>
            </w:r>
            <w:r>
              <w:rPr>
                <w:rFonts w:hint="eastAsia" w:ascii="Times New Roman" w:hAnsi="Times New Roman" w:eastAsia="宋体" w:cs="Times New Roman"/>
                <w:bCs/>
                <w:color w:val="000000" w:themeColor="text1"/>
                <w14:textFill>
                  <w14:solidFill>
                    <w14:schemeClr w14:val="tx1"/>
                  </w14:solidFill>
                </w14:textFill>
              </w:rPr>
              <w:br w:type="textWrapping"/>
            </w:r>
            <w:r>
              <w:rPr>
                <w:rFonts w:hint="eastAsia" w:ascii="Times New Roman" w:hAnsi="Times New Roman" w:eastAsia="宋体" w:cs="Times New Roman"/>
                <w:bCs/>
                <w:color w:val="000000" w:themeColor="text1"/>
                <w14:textFill>
                  <w14:solidFill>
                    <w14:schemeClr w14:val="tx1"/>
                  </w14:solidFill>
                </w14:textFill>
              </w:rPr>
              <w:t>（3）参与项目研究方案讨论、实验结果分析及成果总结，与项目其他完成单位开展协同研究，共同推动相关研究成果的形成与完善</w:t>
            </w:r>
          </w:p>
        </w:tc>
      </w:tr>
    </w:tbl>
    <w:p w14:paraId="0382FE20"/>
    <w:p w14:paraId="535BC374">
      <w:pPr>
        <w:pStyle w:val="11"/>
        <w:spacing w:before="0"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十、完成人合作关系说明</w:t>
      </w:r>
    </w:p>
    <w:p w14:paraId="02660AF7">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该项目由第一完成人李宇亮负责总体设计、组织协调和科学问题凝练，其余完成人根据专业分工共同参与，围绕光催化界面调控、动态反应路径解析和资源高值转化开展协同研究。</w:t>
      </w:r>
    </w:p>
    <w:p w14:paraId="1FBF66B2">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李宇亮与徐帅、杨晓伟围绕光催化析氧反应关键中间体识别开展合作。李宇亮主要负责研究工作的总体设计与组织协调，并指导从头算分子动力学研究；徐帅主要负责反应路径追踪、动态模拟及相关结果分析；杨晓伟主要负责界面电子结构演化规律分析。相关合作形成了附件论文成果。</w:t>
      </w:r>
    </w:p>
    <w:p w14:paraId="0CD380A7">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李宇亮与张香平、张振磊自2022年起在多孔材料设计与碳资源循环领域开展合作，共同开展分子筛结构设计及聚乙烯升级回收研究。李宇亮主要负责研究方案设计、催化界面电子调控策略及项目统筹；张香平主要负责</w:t>
      </w:r>
      <w:r>
        <w:rPr>
          <w:rFonts w:hint="eastAsia"/>
          <w:color w:val="000000" w:themeColor="text1"/>
          <w:sz w:val="24"/>
          <w14:textFill>
            <w14:solidFill>
              <w14:schemeClr w14:val="tx1"/>
            </w14:solidFill>
          </w14:textFill>
        </w:rPr>
        <w:t>介孔催化材料</w:t>
      </w:r>
      <w:r>
        <w:rPr>
          <w:color w:val="000000" w:themeColor="text1"/>
          <w:sz w:val="24"/>
          <w14:textFill>
            <w14:solidFill>
              <w14:schemeClr w14:val="tx1"/>
            </w14:solidFill>
          </w14:textFill>
        </w:rPr>
        <w:t>设计与合成方法开发；张振磊主要负责催化性能评价及反应机理分析。</w:t>
      </w:r>
    </w:p>
    <w:p w14:paraId="28FB43D0">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李宇亮与罗钰自2017年起围绕异质界面光催化材料开展合作。李宇亮主要负责异质界面电子耦合机制的理论指导及研究方案设计，罗钰主要负责多尺度界面材料的制备、表征及光催化性能测试。项目完成人长期保持科研合作关系，共同形成论文、知识产权和科研项目等成果。</w:t>
      </w:r>
    </w:p>
    <w:p w14:paraId="4A653E6E"/>
    <w:sectPr>
      <w:pgSz w:w="11906" w:h="16838"/>
      <w:pgMar w:top="1440" w:right="1797" w:bottom="1440" w:left="1797"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9E010">
    <w:pPr>
      <w:jc w:val="center"/>
    </w:pPr>
    <w:r>
      <w:fldChar w:fldCharType="begin"/>
    </w:r>
    <w:r>
      <w:instrText xml:space="preserve"> PAGE  \* MERGEFORMAT </w:instrText>
    </w:r>
    <w:r>
      <w:fldChar w:fldCharType="separate"/>
    </w:r>
    <w:r>
      <w:t>1</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8D00EA"/>
    <w:multiLevelType w:val="singleLevel"/>
    <w:tmpl w:val="5D8D00EA"/>
    <w:lvl w:ilvl="0" w:tentative="0">
      <w:start w:val="8"/>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38A0"/>
    <w:rsid w:val="00002FBD"/>
    <w:rsid w:val="00003EC0"/>
    <w:rsid w:val="000134A3"/>
    <w:rsid w:val="00045539"/>
    <w:rsid w:val="0004568F"/>
    <w:rsid w:val="000628C9"/>
    <w:rsid w:val="0008116C"/>
    <w:rsid w:val="000909EA"/>
    <w:rsid w:val="00091DC1"/>
    <w:rsid w:val="00095CD3"/>
    <w:rsid w:val="000A25AF"/>
    <w:rsid w:val="000B1A46"/>
    <w:rsid w:val="000B3CE2"/>
    <w:rsid w:val="000B509B"/>
    <w:rsid w:val="000C2BB3"/>
    <w:rsid w:val="000D2533"/>
    <w:rsid w:val="000D3350"/>
    <w:rsid w:val="000E0404"/>
    <w:rsid w:val="000F298B"/>
    <w:rsid w:val="001009C9"/>
    <w:rsid w:val="00106778"/>
    <w:rsid w:val="001204F5"/>
    <w:rsid w:val="00121D3B"/>
    <w:rsid w:val="00131B9F"/>
    <w:rsid w:val="00140899"/>
    <w:rsid w:val="00154D28"/>
    <w:rsid w:val="001710CE"/>
    <w:rsid w:val="001723A2"/>
    <w:rsid w:val="00172932"/>
    <w:rsid w:val="00181B3A"/>
    <w:rsid w:val="0018426A"/>
    <w:rsid w:val="0018616A"/>
    <w:rsid w:val="00187A88"/>
    <w:rsid w:val="00190690"/>
    <w:rsid w:val="001938A0"/>
    <w:rsid w:val="001A0175"/>
    <w:rsid w:val="001A2746"/>
    <w:rsid w:val="001A4EA0"/>
    <w:rsid w:val="001C3309"/>
    <w:rsid w:val="001E3B85"/>
    <w:rsid w:val="001F24D6"/>
    <w:rsid w:val="002013B4"/>
    <w:rsid w:val="00205F09"/>
    <w:rsid w:val="00214158"/>
    <w:rsid w:val="00214AED"/>
    <w:rsid w:val="002237F4"/>
    <w:rsid w:val="00233B8B"/>
    <w:rsid w:val="002343A4"/>
    <w:rsid w:val="00234DAC"/>
    <w:rsid w:val="00235A9A"/>
    <w:rsid w:val="00260D31"/>
    <w:rsid w:val="00263BB6"/>
    <w:rsid w:val="00270E08"/>
    <w:rsid w:val="00280E95"/>
    <w:rsid w:val="0028284E"/>
    <w:rsid w:val="00283578"/>
    <w:rsid w:val="00292642"/>
    <w:rsid w:val="002A076C"/>
    <w:rsid w:val="002A662C"/>
    <w:rsid w:val="002B490B"/>
    <w:rsid w:val="002B7344"/>
    <w:rsid w:val="002C32C5"/>
    <w:rsid w:val="002C5CED"/>
    <w:rsid w:val="002E7843"/>
    <w:rsid w:val="002F4635"/>
    <w:rsid w:val="00301B88"/>
    <w:rsid w:val="00311C77"/>
    <w:rsid w:val="00312332"/>
    <w:rsid w:val="00320EFD"/>
    <w:rsid w:val="0032104D"/>
    <w:rsid w:val="003234F2"/>
    <w:rsid w:val="003327B1"/>
    <w:rsid w:val="0034194F"/>
    <w:rsid w:val="003430BA"/>
    <w:rsid w:val="00366357"/>
    <w:rsid w:val="00374741"/>
    <w:rsid w:val="003822EE"/>
    <w:rsid w:val="0038685F"/>
    <w:rsid w:val="00391DFE"/>
    <w:rsid w:val="003935EA"/>
    <w:rsid w:val="003A584E"/>
    <w:rsid w:val="003A780B"/>
    <w:rsid w:val="003B2FBD"/>
    <w:rsid w:val="003B3D38"/>
    <w:rsid w:val="003C468B"/>
    <w:rsid w:val="003D6395"/>
    <w:rsid w:val="003D6CA0"/>
    <w:rsid w:val="003E1973"/>
    <w:rsid w:val="003E44D9"/>
    <w:rsid w:val="003E5BAD"/>
    <w:rsid w:val="003F3FBD"/>
    <w:rsid w:val="00402989"/>
    <w:rsid w:val="0040338C"/>
    <w:rsid w:val="0041085F"/>
    <w:rsid w:val="00410BFD"/>
    <w:rsid w:val="0041277A"/>
    <w:rsid w:val="00416915"/>
    <w:rsid w:val="0042404E"/>
    <w:rsid w:val="00445AFC"/>
    <w:rsid w:val="00465D8B"/>
    <w:rsid w:val="00467E40"/>
    <w:rsid w:val="0047550E"/>
    <w:rsid w:val="004801C0"/>
    <w:rsid w:val="004843FB"/>
    <w:rsid w:val="00486681"/>
    <w:rsid w:val="00491D00"/>
    <w:rsid w:val="004927A4"/>
    <w:rsid w:val="004939E8"/>
    <w:rsid w:val="004A066E"/>
    <w:rsid w:val="004A09A3"/>
    <w:rsid w:val="004A0C2A"/>
    <w:rsid w:val="004A2995"/>
    <w:rsid w:val="004A3A5D"/>
    <w:rsid w:val="004B0138"/>
    <w:rsid w:val="004B146E"/>
    <w:rsid w:val="004B273A"/>
    <w:rsid w:val="004B39C0"/>
    <w:rsid w:val="004B7C00"/>
    <w:rsid w:val="004C0E2D"/>
    <w:rsid w:val="004D17A2"/>
    <w:rsid w:val="004D32B3"/>
    <w:rsid w:val="004E223F"/>
    <w:rsid w:val="004E338D"/>
    <w:rsid w:val="004F054E"/>
    <w:rsid w:val="004F1FC1"/>
    <w:rsid w:val="004F2715"/>
    <w:rsid w:val="004F2F7C"/>
    <w:rsid w:val="00507B8C"/>
    <w:rsid w:val="00523F19"/>
    <w:rsid w:val="00524112"/>
    <w:rsid w:val="0053154E"/>
    <w:rsid w:val="00531B4B"/>
    <w:rsid w:val="00535AF3"/>
    <w:rsid w:val="00537A43"/>
    <w:rsid w:val="00543F6B"/>
    <w:rsid w:val="00546680"/>
    <w:rsid w:val="0055234A"/>
    <w:rsid w:val="00561595"/>
    <w:rsid w:val="005653D8"/>
    <w:rsid w:val="00573113"/>
    <w:rsid w:val="005743A1"/>
    <w:rsid w:val="00575C63"/>
    <w:rsid w:val="00585FB0"/>
    <w:rsid w:val="00587155"/>
    <w:rsid w:val="00590122"/>
    <w:rsid w:val="00595E99"/>
    <w:rsid w:val="005A1201"/>
    <w:rsid w:val="005A21BD"/>
    <w:rsid w:val="005A68C9"/>
    <w:rsid w:val="005A71EC"/>
    <w:rsid w:val="005B41C6"/>
    <w:rsid w:val="005B45E5"/>
    <w:rsid w:val="005B643E"/>
    <w:rsid w:val="005C022F"/>
    <w:rsid w:val="005D4317"/>
    <w:rsid w:val="005E2BEA"/>
    <w:rsid w:val="005E3541"/>
    <w:rsid w:val="005F0F59"/>
    <w:rsid w:val="005F4CEE"/>
    <w:rsid w:val="00613EB1"/>
    <w:rsid w:val="00614F14"/>
    <w:rsid w:val="00622117"/>
    <w:rsid w:val="0064019B"/>
    <w:rsid w:val="0064631A"/>
    <w:rsid w:val="00647723"/>
    <w:rsid w:val="006623B1"/>
    <w:rsid w:val="00667EA0"/>
    <w:rsid w:val="00671A96"/>
    <w:rsid w:val="00671B9D"/>
    <w:rsid w:val="0067706B"/>
    <w:rsid w:val="00694C90"/>
    <w:rsid w:val="00696405"/>
    <w:rsid w:val="006B41EC"/>
    <w:rsid w:val="006B46DE"/>
    <w:rsid w:val="006B6FF5"/>
    <w:rsid w:val="006C1A45"/>
    <w:rsid w:val="006C7C87"/>
    <w:rsid w:val="006E62A3"/>
    <w:rsid w:val="006F01DF"/>
    <w:rsid w:val="006F42F3"/>
    <w:rsid w:val="00711192"/>
    <w:rsid w:val="00721292"/>
    <w:rsid w:val="00721903"/>
    <w:rsid w:val="00723D2E"/>
    <w:rsid w:val="007240D6"/>
    <w:rsid w:val="007354B8"/>
    <w:rsid w:val="00744196"/>
    <w:rsid w:val="00747294"/>
    <w:rsid w:val="0074753C"/>
    <w:rsid w:val="00750CAC"/>
    <w:rsid w:val="00753EC1"/>
    <w:rsid w:val="00764B27"/>
    <w:rsid w:val="0077261A"/>
    <w:rsid w:val="0078163C"/>
    <w:rsid w:val="007A2B14"/>
    <w:rsid w:val="007B1660"/>
    <w:rsid w:val="007B45A4"/>
    <w:rsid w:val="007B6CF7"/>
    <w:rsid w:val="007C067C"/>
    <w:rsid w:val="007C098B"/>
    <w:rsid w:val="007C2DBA"/>
    <w:rsid w:val="007C70F9"/>
    <w:rsid w:val="007D3811"/>
    <w:rsid w:val="007D6530"/>
    <w:rsid w:val="007E6E6B"/>
    <w:rsid w:val="007F15A0"/>
    <w:rsid w:val="007F50A6"/>
    <w:rsid w:val="008062C4"/>
    <w:rsid w:val="00806CD4"/>
    <w:rsid w:val="0081043C"/>
    <w:rsid w:val="0081556C"/>
    <w:rsid w:val="00815637"/>
    <w:rsid w:val="0082355D"/>
    <w:rsid w:val="00827A55"/>
    <w:rsid w:val="00834CA5"/>
    <w:rsid w:val="0084115E"/>
    <w:rsid w:val="00843C36"/>
    <w:rsid w:val="008640B6"/>
    <w:rsid w:val="008905CD"/>
    <w:rsid w:val="00892B87"/>
    <w:rsid w:val="00894DAA"/>
    <w:rsid w:val="008A1F1E"/>
    <w:rsid w:val="008A382E"/>
    <w:rsid w:val="008A4C89"/>
    <w:rsid w:val="008C7C47"/>
    <w:rsid w:val="008D1A72"/>
    <w:rsid w:val="008D243C"/>
    <w:rsid w:val="008E545E"/>
    <w:rsid w:val="008F09F4"/>
    <w:rsid w:val="008F1D68"/>
    <w:rsid w:val="008F22AC"/>
    <w:rsid w:val="00900934"/>
    <w:rsid w:val="00912721"/>
    <w:rsid w:val="00922A5E"/>
    <w:rsid w:val="00926182"/>
    <w:rsid w:val="00934686"/>
    <w:rsid w:val="0094635B"/>
    <w:rsid w:val="009500F7"/>
    <w:rsid w:val="009515F5"/>
    <w:rsid w:val="009553ED"/>
    <w:rsid w:val="009569E9"/>
    <w:rsid w:val="00971E94"/>
    <w:rsid w:val="00981993"/>
    <w:rsid w:val="00981D34"/>
    <w:rsid w:val="00992424"/>
    <w:rsid w:val="00996643"/>
    <w:rsid w:val="00996845"/>
    <w:rsid w:val="009A4DB1"/>
    <w:rsid w:val="009B0CB7"/>
    <w:rsid w:val="009B0EAB"/>
    <w:rsid w:val="009B2666"/>
    <w:rsid w:val="009B3064"/>
    <w:rsid w:val="009C2AB0"/>
    <w:rsid w:val="009C7CED"/>
    <w:rsid w:val="009C7D57"/>
    <w:rsid w:val="009D4800"/>
    <w:rsid w:val="009D7872"/>
    <w:rsid w:val="009E27DC"/>
    <w:rsid w:val="009E3843"/>
    <w:rsid w:val="00A022F5"/>
    <w:rsid w:val="00A10B2B"/>
    <w:rsid w:val="00A17EF7"/>
    <w:rsid w:val="00A21F49"/>
    <w:rsid w:val="00A3118A"/>
    <w:rsid w:val="00A35C01"/>
    <w:rsid w:val="00A42134"/>
    <w:rsid w:val="00A4766D"/>
    <w:rsid w:val="00A54B29"/>
    <w:rsid w:val="00A5540D"/>
    <w:rsid w:val="00A57DB9"/>
    <w:rsid w:val="00A96648"/>
    <w:rsid w:val="00A97900"/>
    <w:rsid w:val="00AA224F"/>
    <w:rsid w:val="00AA49D6"/>
    <w:rsid w:val="00AB1876"/>
    <w:rsid w:val="00AB48DA"/>
    <w:rsid w:val="00AB7213"/>
    <w:rsid w:val="00AB7E20"/>
    <w:rsid w:val="00AC1DCB"/>
    <w:rsid w:val="00AC20DB"/>
    <w:rsid w:val="00AE3082"/>
    <w:rsid w:val="00AE3920"/>
    <w:rsid w:val="00AE3D4A"/>
    <w:rsid w:val="00B01519"/>
    <w:rsid w:val="00B0162C"/>
    <w:rsid w:val="00B06105"/>
    <w:rsid w:val="00B13A65"/>
    <w:rsid w:val="00B2325E"/>
    <w:rsid w:val="00B272D0"/>
    <w:rsid w:val="00B3008E"/>
    <w:rsid w:val="00B34B1D"/>
    <w:rsid w:val="00B361E3"/>
    <w:rsid w:val="00B42533"/>
    <w:rsid w:val="00B5397E"/>
    <w:rsid w:val="00B67821"/>
    <w:rsid w:val="00B71F90"/>
    <w:rsid w:val="00B7505F"/>
    <w:rsid w:val="00B8301B"/>
    <w:rsid w:val="00B951CA"/>
    <w:rsid w:val="00B96D74"/>
    <w:rsid w:val="00B97156"/>
    <w:rsid w:val="00BA2397"/>
    <w:rsid w:val="00BA36CE"/>
    <w:rsid w:val="00BB0D20"/>
    <w:rsid w:val="00BB3B6E"/>
    <w:rsid w:val="00BB547A"/>
    <w:rsid w:val="00BC0668"/>
    <w:rsid w:val="00BC45F1"/>
    <w:rsid w:val="00BC551A"/>
    <w:rsid w:val="00BC6812"/>
    <w:rsid w:val="00BD465A"/>
    <w:rsid w:val="00BD606B"/>
    <w:rsid w:val="00BD7F2C"/>
    <w:rsid w:val="00BE4327"/>
    <w:rsid w:val="00C00AE8"/>
    <w:rsid w:val="00C01DF0"/>
    <w:rsid w:val="00C036AC"/>
    <w:rsid w:val="00C11BE1"/>
    <w:rsid w:val="00C14A8D"/>
    <w:rsid w:val="00C16F89"/>
    <w:rsid w:val="00C2168C"/>
    <w:rsid w:val="00C2622A"/>
    <w:rsid w:val="00C31B31"/>
    <w:rsid w:val="00C37A67"/>
    <w:rsid w:val="00C460B7"/>
    <w:rsid w:val="00C60FD1"/>
    <w:rsid w:val="00C62D86"/>
    <w:rsid w:val="00C638FB"/>
    <w:rsid w:val="00C706F3"/>
    <w:rsid w:val="00C7098D"/>
    <w:rsid w:val="00C76590"/>
    <w:rsid w:val="00C82F46"/>
    <w:rsid w:val="00C943D9"/>
    <w:rsid w:val="00CA1848"/>
    <w:rsid w:val="00CC4838"/>
    <w:rsid w:val="00CD54B2"/>
    <w:rsid w:val="00CD7B5B"/>
    <w:rsid w:val="00CE2288"/>
    <w:rsid w:val="00D00802"/>
    <w:rsid w:val="00D03EF7"/>
    <w:rsid w:val="00D075C5"/>
    <w:rsid w:val="00D27B46"/>
    <w:rsid w:val="00D339AA"/>
    <w:rsid w:val="00D35667"/>
    <w:rsid w:val="00D418DA"/>
    <w:rsid w:val="00D472D7"/>
    <w:rsid w:val="00D55752"/>
    <w:rsid w:val="00D63AD5"/>
    <w:rsid w:val="00D7610C"/>
    <w:rsid w:val="00D763AF"/>
    <w:rsid w:val="00D80155"/>
    <w:rsid w:val="00D85A6A"/>
    <w:rsid w:val="00D91027"/>
    <w:rsid w:val="00D94745"/>
    <w:rsid w:val="00DA5AB0"/>
    <w:rsid w:val="00DB0A56"/>
    <w:rsid w:val="00DC1848"/>
    <w:rsid w:val="00DC201C"/>
    <w:rsid w:val="00DC3876"/>
    <w:rsid w:val="00DC717C"/>
    <w:rsid w:val="00DD2453"/>
    <w:rsid w:val="00DE1AA5"/>
    <w:rsid w:val="00DE50C1"/>
    <w:rsid w:val="00DE66EC"/>
    <w:rsid w:val="00DF1569"/>
    <w:rsid w:val="00DF1DE7"/>
    <w:rsid w:val="00DF5562"/>
    <w:rsid w:val="00E07710"/>
    <w:rsid w:val="00E12AE2"/>
    <w:rsid w:val="00E131D9"/>
    <w:rsid w:val="00E15DF1"/>
    <w:rsid w:val="00E235EC"/>
    <w:rsid w:val="00E2690B"/>
    <w:rsid w:val="00E35484"/>
    <w:rsid w:val="00E422F3"/>
    <w:rsid w:val="00E4402A"/>
    <w:rsid w:val="00E507ED"/>
    <w:rsid w:val="00E61046"/>
    <w:rsid w:val="00E6690A"/>
    <w:rsid w:val="00E84182"/>
    <w:rsid w:val="00E8469F"/>
    <w:rsid w:val="00E85572"/>
    <w:rsid w:val="00E91626"/>
    <w:rsid w:val="00E97257"/>
    <w:rsid w:val="00EA1050"/>
    <w:rsid w:val="00EA44B0"/>
    <w:rsid w:val="00EA4B16"/>
    <w:rsid w:val="00EB5FCD"/>
    <w:rsid w:val="00EE2059"/>
    <w:rsid w:val="00EF7282"/>
    <w:rsid w:val="00F07DAF"/>
    <w:rsid w:val="00F10B16"/>
    <w:rsid w:val="00F15BB1"/>
    <w:rsid w:val="00F2086C"/>
    <w:rsid w:val="00F25455"/>
    <w:rsid w:val="00F30AEE"/>
    <w:rsid w:val="00F35659"/>
    <w:rsid w:val="00F37115"/>
    <w:rsid w:val="00F4207C"/>
    <w:rsid w:val="00F532D4"/>
    <w:rsid w:val="00F53863"/>
    <w:rsid w:val="00F56924"/>
    <w:rsid w:val="00F6167A"/>
    <w:rsid w:val="00F7483E"/>
    <w:rsid w:val="00F80053"/>
    <w:rsid w:val="00F9533B"/>
    <w:rsid w:val="00F96169"/>
    <w:rsid w:val="00F972B5"/>
    <w:rsid w:val="00FA487E"/>
    <w:rsid w:val="00FC00FE"/>
    <w:rsid w:val="00FD4F64"/>
    <w:rsid w:val="010673F6"/>
    <w:rsid w:val="033D6D7A"/>
    <w:rsid w:val="0B973444"/>
    <w:rsid w:val="0BC23CD0"/>
    <w:rsid w:val="11EA2990"/>
    <w:rsid w:val="12281ACD"/>
    <w:rsid w:val="173F6DED"/>
    <w:rsid w:val="17D67D93"/>
    <w:rsid w:val="1A270312"/>
    <w:rsid w:val="2B3361F1"/>
    <w:rsid w:val="2B6112ED"/>
    <w:rsid w:val="2F250E50"/>
    <w:rsid w:val="2FCC7004"/>
    <w:rsid w:val="362861E5"/>
    <w:rsid w:val="3B2719FC"/>
    <w:rsid w:val="3B8A0B96"/>
    <w:rsid w:val="3D312BFE"/>
    <w:rsid w:val="3FAF79DC"/>
    <w:rsid w:val="453924CA"/>
    <w:rsid w:val="46E1059E"/>
    <w:rsid w:val="4C236B79"/>
    <w:rsid w:val="4E130146"/>
    <w:rsid w:val="4F0C19F2"/>
    <w:rsid w:val="5519420F"/>
    <w:rsid w:val="57D34B39"/>
    <w:rsid w:val="5AB20862"/>
    <w:rsid w:val="5DB053B9"/>
    <w:rsid w:val="5ED8685F"/>
    <w:rsid w:val="6171548A"/>
    <w:rsid w:val="61B86C37"/>
    <w:rsid w:val="61C5037F"/>
    <w:rsid w:val="62EB601E"/>
    <w:rsid w:val="638E67AB"/>
    <w:rsid w:val="70805373"/>
    <w:rsid w:val="78015EA4"/>
    <w:rsid w:val="7C543B7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2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link w:val="28"/>
    <w:unhideWhenUsed/>
    <w:qFormat/>
    <w:uiPriority w:val="9"/>
    <w:pPr>
      <w:keepNext/>
      <w:keepLines/>
      <w:spacing w:before="260" w:after="260" w:line="416" w:lineRule="auto"/>
      <w:outlineLvl w:val="2"/>
    </w:pPr>
    <w:rPr>
      <w:b/>
      <w:bCs/>
      <w:sz w:val="32"/>
      <w:szCs w:val="32"/>
    </w:rPr>
  </w:style>
  <w:style w:type="paragraph" w:styleId="4">
    <w:name w:val="heading 4"/>
    <w:basedOn w:val="1"/>
    <w:next w:val="1"/>
    <w:link w:val="29"/>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5">
    <w:name w:val="Default Paragraph Font"/>
    <w:semiHidden/>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5">
    <w:name w:val="annotation text"/>
    <w:basedOn w:val="1"/>
    <w:link w:val="23"/>
    <w:semiHidden/>
    <w:unhideWhenUsed/>
    <w:qFormat/>
    <w:uiPriority w:val="99"/>
    <w:pPr>
      <w:jc w:val="left"/>
    </w:pPr>
  </w:style>
  <w:style w:type="paragraph" w:styleId="6">
    <w:name w:val="Plain Text"/>
    <w:basedOn w:val="1"/>
    <w:link w:val="22"/>
    <w:qFormat/>
    <w:uiPriority w:val="0"/>
    <w:pPr>
      <w:spacing w:line="360" w:lineRule="auto"/>
      <w:ind w:firstLine="480" w:firstLineChars="200"/>
    </w:pPr>
    <w:rPr>
      <w:rFonts w:ascii="仿宋_GB2312" w:hAnsi="Times New Roman" w:eastAsia="宋体" w:cs="Times New Roman"/>
      <w:sz w:val="24"/>
      <w:szCs w:val="24"/>
    </w:rPr>
  </w:style>
  <w:style w:type="paragraph" w:styleId="7">
    <w:name w:val="Balloon Text"/>
    <w:basedOn w:val="1"/>
    <w:link w:val="25"/>
    <w:semiHidden/>
    <w:unhideWhenUsed/>
    <w:qFormat/>
    <w:uiPriority w:val="99"/>
    <w:rPr>
      <w:sz w:val="18"/>
      <w:szCs w:val="18"/>
    </w:rPr>
  </w:style>
  <w:style w:type="paragraph" w:styleId="8">
    <w:name w:val="footer"/>
    <w:basedOn w:val="1"/>
    <w:link w:val="20"/>
    <w:unhideWhenUsed/>
    <w:qFormat/>
    <w:uiPriority w:val="99"/>
    <w:pPr>
      <w:tabs>
        <w:tab w:val="center" w:pos="4153"/>
        <w:tab w:val="right" w:pos="8306"/>
      </w:tabs>
      <w:snapToGrid w:val="0"/>
      <w:jc w:val="left"/>
    </w:pPr>
    <w:rPr>
      <w:sz w:val="18"/>
      <w:szCs w:val="18"/>
    </w:rPr>
  </w:style>
  <w:style w:type="paragraph" w:styleId="9">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1">
    <w:name w:val="Title"/>
    <w:basedOn w:val="1"/>
    <w:next w:val="1"/>
    <w:link w:val="26"/>
    <w:qFormat/>
    <w:uiPriority w:val="10"/>
    <w:pPr>
      <w:spacing w:before="240"/>
      <w:jc w:val="left"/>
      <w:outlineLvl w:val="0"/>
    </w:pPr>
    <w:rPr>
      <w:rFonts w:eastAsia="仿宋_GB2312" w:asciiTheme="majorHAnsi" w:hAnsiTheme="majorHAnsi" w:cstheme="majorBidi"/>
      <w:b/>
      <w:bCs/>
      <w:sz w:val="32"/>
      <w:szCs w:val="32"/>
    </w:rPr>
  </w:style>
  <w:style w:type="paragraph" w:styleId="12">
    <w:name w:val="annotation subject"/>
    <w:basedOn w:val="5"/>
    <w:next w:val="5"/>
    <w:link w:val="24"/>
    <w:semiHidden/>
    <w:unhideWhenUsed/>
    <w:qFormat/>
    <w:uiPriority w:val="99"/>
    <w:rPr>
      <w:b/>
      <w:bCs/>
    </w:rPr>
  </w:style>
  <w:style w:type="table" w:styleId="14">
    <w:name w:val="Table Grid"/>
    <w:basedOn w:val="1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FollowedHyperlink"/>
    <w:basedOn w:val="15"/>
    <w:semiHidden/>
    <w:unhideWhenUsed/>
    <w:qFormat/>
    <w:uiPriority w:val="99"/>
    <w:rPr>
      <w:color w:val="800080" w:themeColor="followedHyperlink"/>
      <w:u w:val="single"/>
      <w14:textFill>
        <w14:solidFill>
          <w14:schemeClr w14:val="folHlink"/>
        </w14:solidFill>
      </w14:textFill>
    </w:rPr>
  </w:style>
  <w:style w:type="character" w:styleId="17">
    <w:name w:val="Hyperlink"/>
    <w:basedOn w:val="15"/>
    <w:unhideWhenUsed/>
    <w:qFormat/>
    <w:uiPriority w:val="99"/>
    <w:rPr>
      <w:color w:val="0000FF" w:themeColor="hyperlink"/>
      <w:u w:val="single"/>
      <w14:textFill>
        <w14:solidFill>
          <w14:schemeClr w14:val="hlink"/>
        </w14:solidFill>
      </w14:textFill>
    </w:rPr>
  </w:style>
  <w:style w:type="character" w:styleId="18">
    <w:name w:val="annotation reference"/>
    <w:basedOn w:val="15"/>
    <w:semiHidden/>
    <w:unhideWhenUsed/>
    <w:qFormat/>
    <w:uiPriority w:val="99"/>
    <w:rPr>
      <w:sz w:val="21"/>
      <w:szCs w:val="21"/>
    </w:rPr>
  </w:style>
  <w:style w:type="character" w:customStyle="1" w:styleId="19">
    <w:name w:val="页眉 字符"/>
    <w:basedOn w:val="15"/>
    <w:link w:val="9"/>
    <w:qFormat/>
    <w:uiPriority w:val="99"/>
    <w:rPr>
      <w:sz w:val="18"/>
      <w:szCs w:val="18"/>
    </w:rPr>
  </w:style>
  <w:style w:type="character" w:customStyle="1" w:styleId="20">
    <w:name w:val="页脚 字符"/>
    <w:basedOn w:val="15"/>
    <w:link w:val="8"/>
    <w:qFormat/>
    <w:uiPriority w:val="99"/>
    <w:rPr>
      <w:sz w:val="18"/>
      <w:szCs w:val="18"/>
    </w:rPr>
  </w:style>
  <w:style w:type="paragraph" w:styleId="21">
    <w:name w:val="List Paragraph"/>
    <w:basedOn w:val="1"/>
    <w:qFormat/>
    <w:uiPriority w:val="34"/>
    <w:pPr>
      <w:ind w:firstLine="420" w:firstLineChars="200"/>
    </w:pPr>
    <w:rPr>
      <w:rFonts w:ascii="Times New Roman" w:hAnsi="Times New Roman" w:eastAsia="宋体" w:cs="Times New Roman"/>
      <w:szCs w:val="24"/>
    </w:rPr>
  </w:style>
  <w:style w:type="character" w:customStyle="1" w:styleId="22">
    <w:name w:val="纯文本 字符"/>
    <w:basedOn w:val="15"/>
    <w:link w:val="6"/>
    <w:qFormat/>
    <w:uiPriority w:val="0"/>
    <w:rPr>
      <w:rFonts w:ascii="仿宋_GB2312" w:hAnsi="Times New Roman" w:eastAsia="宋体" w:cs="Times New Roman"/>
      <w:sz w:val="24"/>
      <w:szCs w:val="24"/>
    </w:rPr>
  </w:style>
  <w:style w:type="character" w:customStyle="1" w:styleId="23">
    <w:name w:val="批注文字 字符"/>
    <w:basedOn w:val="15"/>
    <w:link w:val="5"/>
    <w:semiHidden/>
    <w:qFormat/>
    <w:uiPriority w:val="99"/>
  </w:style>
  <w:style w:type="character" w:customStyle="1" w:styleId="24">
    <w:name w:val="批注主题 字符"/>
    <w:basedOn w:val="23"/>
    <w:link w:val="12"/>
    <w:semiHidden/>
    <w:qFormat/>
    <w:uiPriority w:val="99"/>
    <w:rPr>
      <w:b/>
      <w:bCs/>
    </w:rPr>
  </w:style>
  <w:style w:type="character" w:customStyle="1" w:styleId="25">
    <w:name w:val="批注框文本 字符"/>
    <w:basedOn w:val="15"/>
    <w:link w:val="7"/>
    <w:semiHidden/>
    <w:qFormat/>
    <w:uiPriority w:val="99"/>
    <w:rPr>
      <w:sz w:val="18"/>
      <w:szCs w:val="18"/>
    </w:rPr>
  </w:style>
  <w:style w:type="character" w:customStyle="1" w:styleId="26">
    <w:name w:val="标题 字符"/>
    <w:basedOn w:val="15"/>
    <w:link w:val="11"/>
    <w:qFormat/>
    <w:uiPriority w:val="10"/>
    <w:rPr>
      <w:rFonts w:eastAsia="仿宋_GB2312" w:asciiTheme="majorHAnsi" w:hAnsiTheme="majorHAnsi" w:cstheme="majorBidi"/>
      <w:b/>
      <w:bCs/>
      <w:kern w:val="2"/>
      <w:sz w:val="32"/>
      <w:szCs w:val="32"/>
    </w:rPr>
  </w:style>
  <w:style w:type="character" w:customStyle="1" w:styleId="27">
    <w:name w:val="标题 2 字符"/>
    <w:basedOn w:val="15"/>
    <w:link w:val="2"/>
    <w:qFormat/>
    <w:uiPriority w:val="9"/>
    <w:rPr>
      <w:rFonts w:asciiTheme="majorHAnsi" w:hAnsiTheme="majorHAnsi" w:eastAsiaTheme="majorEastAsia" w:cstheme="majorBidi"/>
      <w:b/>
      <w:bCs/>
      <w:kern w:val="2"/>
      <w:sz w:val="32"/>
      <w:szCs w:val="32"/>
    </w:rPr>
  </w:style>
  <w:style w:type="character" w:customStyle="1" w:styleId="28">
    <w:name w:val="标题 3 字符"/>
    <w:basedOn w:val="15"/>
    <w:link w:val="3"/>
    <w:qFormat/>
    <w:uiPriority w:val="9"/>
    <w:rPr>
      <w:b/>
      <w:bCs/>
      <w:kern w:val="2"/>
      <w:sz w:val="32"/>
      <w:szCs w:val="32"/>
    </w:rPr>
  </w:style>
  <w:style w:type="character" w:customStyle="1" w:styleId="29">
    <w:name w:val="标题 4 字符"/>
    <w:basedOn w:val="15"/>
    <w:link w:val="4"/>
    <w:qFormat/>
    <w:uiPriority w:val="9"/>
    <w:rPr>
      <w:rFonts w:asciiTheme="majorHAnsi" w:hAnsiTheme="majorHAnsi" w:eastAsiaTheme="majorEastAsia" w:cstheme="majorBidi"/>
      <w:b/>
      <w:bCs/>
      <w:kern w:val="2"/>
      <w:sz w:val="28"/>
      <w:szCs w:val="28"/>
    </w:rPr>
  </w:style>
  <w:style w:type="character" w:customStyle="1" w:styleId="30">
    <w:name w:val="纯文本 字符1"/>
    <w:qFormat/>
    <w:locked/>
    <w:uiPriority w:val="0"/>
    <w:rPr>
      <w:rFonts w:ascii="仿宋_GB2312" w:eastAsia="宋体"/>
      <w:sz w:val="24"/>
      <w:szCs w:val="24"/>
    </w:rPr>
  </w:style>
  <w:style w:type="character" w:customStyle="1" w:styleId="31">
    <w:name w:val="纯文本 Char"/>
    <w:qFormat/>
    <w:locked/>
    <w:uiPriority w:val="0"/>
    <w:rPr>
      <w:rFonts w:ascii="仿宋_GB2312" w:eastAsia="宋体"/>
      <w:kern w:val="2"/>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60B6BE-89B0-4920-BE38-365788AFF2BC}">
  <ds:schemaRefs/>
</ds:datastoreItem>
</file>

<file path=docProps/app.xml><?xml version="1.0" encoding="utf-8"?>
<Properties xmlns="http://schemas.openxmlformats.org/officeDocument/2006/extended-properties" xmlns:vt="http://schemas.openxmlformats.org/officeDocument/2006/docPropsVTypes">
  <Template>Normal</Template>
  <Company>中国石油大学</Company>
  <Pages>11</Pages>
  <Words>5821</Words>
  <Characters>6915</Characters>
  <Lines>70</Lines>
  <Paragraphs>19</Paragraphs>
  <TotalTime>160</TotalTime>
  <ScaleCrop>false</ScaleCrop>
  <LinksUpToDate>false</LinksUpToDate>
  <CharactersWithSpaces>7078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2020-05-14T00:39:00Z</dcterms:created>
  <dc:creator>王彩红</dc:creator>
  <cp:lastModifiedBy>佟研</cp:lastModifiedBy>
  <cp:lastPrinted>2020-05-21T08:44:00Z</cp:lastPrinted>
  <dcterms:modified xsi:type="dcterms:W3CDTF">2026-09-04T14:34:39Z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eyJoZGlkIjoiZTQyNjUyOWJiZDJjYjU3MjdhZWNhZDcxMjMzNTI1YWQiLCJ1c2VySWQiOiIxNjU5OTM2NDI0In0=</vt:lpwstr>
  </property>
  <property fmtid="{D5CDD505-2E9C-101B-9397-08002B2CF9AE}" pid="4" name="ICV">
    <vt:lpwstr>C93F89D5B723427F85D3A520342E9326_12</vt:lpwstr>
  </property>
</Properties>
</file>