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150"/>
        <w:jc w:val="center"/>
        <w:outlineLvl w:val="0"/>
        <w:rPr>
          <w:rFonts w:hint="eastAsia" w:ascii="仿宋" w:hAnsi="仿宋" w:eastAsia="仿宋" w:cs="仿宋"/>
          <w:bCs/>
          <w:kern w:val="0"/>
          <w:sz w:val="28"/>
          <w:szCs w:val="28"/>
        </w:rPr>
      </w:pPr>
      <w:bookmarkStart w:id="0" w:name="_Toc465525655"/>
      <w:bookmarkStart w:id="1" w:name="_Toc465356759"/>
      <w:bookmarkStart w:id="2" w:name="_Toc465523026"/>
      <w:bookmarkStart w:id="3" w:name="_Toc465363518"/>
      <w:bookmarkStart w:id="4" w:name="_Toc465406966"/>
      <w:bookmarkStart w:id="5" w:name="_Toc465363810"/>
      <w:bookmarkStart w:id="6" w:name="_Toc465363307"/>
      <w:bookmarkStart w:id="7" w:name="_Toc465520458"/>
      <w:r>
        <w:rPr>
          <w:rFonts w:hint="eastAsia" w:ascii="仿宋" w:hAnsi="仿宋" w:eastAsia="仿宋" w:cs="仿宋"/>
          <w:b/>
          <w:kern w:val="0"/>
          <w:sz w:val="28"/>
          <w:szCs w:val="28"/>
        </w:rPr>
        <w:t>机械与储运工程学院转专业学生的学籍及教学管理办法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numPr>
          <w:ilvl w:val="0"/>
          <w:numId w:val="1"/>
        </w:numPr>
        <w:spacing w:beforeLines="50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</w:rPr>
      </w:pPr>
      <w:bookmarkStart w:id="8" w:name="_Toc465523023"/>
      <w:bookmarkStart w:id="9" w:name="_Toc465525652"/>
      <w:r>
        <w:rPr>
          <w:rFonts w:hint="eastAsia" w:ascii="仿宋" w:hAnsi="仿宋" w:eastAsia="仿宋" w:cs="仿宋"/>
          <w:bCs/>
          <w:sz w:val="24"/>
          <w:szCs w:val="24"/>
        </w:rPr>
        <w:t>严格遵守《中国石油大学（北京）关于本科生转专业的实施细则（修订）</w:t>
      </w:r>
      <w:bookmarkEnd w:id="8"/>
      <w:bookmarkEnd w:id="9"/>
      <w:r>
        <w:rPr>
          <w:rFonts w:hint="eastAsia" w:ascii="仿宋" w:hAnsi="仿宋" w:eastAsia="仿宋" w:cs="仿宋"/>
          <w:bCs/>
          <w:sz w:val="24"/>
          <w:szCs w:val="24"/>
        </w:rPr>
        <w:t>》和《机械与储运工程学院关于本科生转专业的补充规定》。</w:t>
      </w:r>
    </w:p>
    <w:p>
      <w:pPr>
        <w:numPr>
          <w:ilvl w:val="0"/>
          <w:numId w:val="1"/>
        </w:numPr>
        <w:spacing w:beforeLines="50"/>
        <w:ind w:firstLine="480" w:firstLineChars="200"/>
        <w:jc w:val="left"/>
        <w:rPr>
          <w:rFonts w:hint="eastAsia" w:ascii="仿宋" w:hAnsi="仿宋" w:eastAsia="仿宋" w:cs="仿宋"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</w:rPr>
        <w:t>经批准，录取的转专业本科生所在班级由辅导员负责编排。在学籍正式转入新专业前，修读方案由学生提出申请，经专业负责人审批。</w:t>
      </w:r>
    </w:p>
    <w:p>
      <w:pPr>
        <w:spacing w:beforeLines="50"/>
        <w:ind w:firstLine="480" w:firstLineChars="200"/>
        <w:jc w:val="left"/>
        <w:rPr>
          <w:rFonts w:hint="eastAsia" w:ascii="仿宋" w:hAnsi="仿宋" w:eastAsia="仿宋" w:cs="仿宋"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</w:rPr>
        <w:t>3、学籍变动自下学年第一学期开始，此前春季学期的课程按原专业要求学习、考试，夏季学期的课程按照新专业的要求学习、</w:t>
      </w:r>
      <w:bookmarkStart w:id="10" w:name="_GoBack"/>
      <w:bookmarkEnd w:id="10"/>
      <w:r>
        <w:rPr>
          <w:rFonts w:hint="eastAsia" w:ascii="仿宋" w:hAnsi="仿宋" w:eastAsia="仿宋" w:cs="仿宋"/>
          <w:bCs/>
          <w:kern w:val="0"/>
          <w:sz w:val="24"/>
          <w:szCs w:val="24"/>
        </w:rPr>
        <w:t>考试。</w:t>
      </w:r>
    </w:p>
    <w:p>
      <w:pPr>
        <w:spacing w:beforeLines="50"/>
        <w:ind w:firstLine="480" w:firstLineChars="200"/>
        <w:jc w:val="left"/>
        <w:rPr>
          <w:rFonts w:hint="eastAsia" w:ascii="仿宋" w:hAnsi="仿宋" w:eastAsia="仿宋" w:cs="仿宋"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</w:rPr>
        <w:t>4、在转专业被批准至学籍正式转入新专业期间若有不及格必修课程，必须补齐未取得的必修学分。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80" w:firstLineChars="200"/>
        <w:jc w:val="left"/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-SA"/>
        </w:rPr>
        <w:t>5、从2019-2020学年夏季短学期开始，转专业学生的课程学习执行转入专业相应年级的培养方案，同时需补修转入专业前期已执行完的教学计划课程。学生转专业前取得学分的课程，符合转入专业培养方案规定的，予以认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-SA"/>
        </w:rPr>
        <w:t>6．转专业学生的毕业资格审核以转入专业的培养方案规定为依据。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0"/>
        <w:jc w:val="left"/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-SA"/>
        </w:rPr>
        <w:t>7、课程替代原则</w:t>
      </w:r>
    </w:p>
    <w:p>
      <w:pPr>
        <w:spacing w:beforeLines="50"/>
        <w:ind w:firstLine="480" w:firstLineChars="200"/>
        <w:rPr>
          <w:rFonts w:hint="eastAsia" w:ascii="仿宋" w:hAnsi="仿宋" w:eastAsia="仿宋" w:cs="仿宋"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sym w:font="Wingdings" w:char="F081"/>
      </w:r>
      <w:r>
        <w:rPr>
          <w:rFonts w:hint="eastAsia" w:ascii="仿宋" w:hAnsi="仿宋" w:eastAsia="仿宋" w:cs="仿宋"/>
          <w:bCs/>
          <w:kern w:val="0"/>
          <w:sz w:val="24"/>
          <w:szCs w:val="24"/>
        </w:rPr>
        <w:t>转专业前的必修课程如果在新专业的转专业后的学期中也开设，在学时学分高于或等同于新专业的要求时，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eastAsia="zh-CN"/>
        </w:rPr>
        <w:t>是否</w:t>
      </w:r>
      <w:r>
        <w:rPr>
          <w:rFonts w:hint="eastAsia" w:ascii="仿宋" w:hAnsi="仿宋" w:eastAsia="仿宋" w:cs="仿宋"/>
          <w:bCs/>
          <w:kern w:val="0"/>
          <w:sz w:val="24"/>
          <w:szCs w:val="24"/>
        </w:rPr>
        <w:t>可以替代新专业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仿宋"/>
          <w:bCs/>
          <w:kern w:val="0"/>
          <w:sz w:val="24"/>
          <w:szCs w:val="24"/>
        </w:rPr>
        <w:t>该门课程，由专业负责人根据课程内容差异情况审核；</w:t>
      </w:r>
    </w:p>
    <w:p>
      <w:pPr>
        <w:spacing w:beforeLines="50"/>
        <w:ind w:firstLine="480" w:firstLineChars="200"/>
        <w:rPr>
          <w:rFonts w:hint="eastAsia" w:ascii="仿宋" w:hAnsi="仿宋" w:eastAsia="仿宋" w:cs="仿宋"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sym w:font="Wingdings" w:char="F082"/>
      </w:r>
      <w:r>
        <w:rPr>
          <w:rFonts w:hint="eastAsia" w:ascii="仿宋" w:hAnsi="仿宋" w:eastAsia="仿宋" w:cs="仿宋"/>
          <w:bCs/>
          <w:sz w:val="24"/>
          <w:szCs w:val="24"/>
        </w:rPr>
        <w:t>转</w:t>
      </w:r>
      <w:r>
        <w:rPr>
          <w:rFonts w:hint="eastAsia" w:ascii="仿宋" w:hAnsi="仿宋" w:eastAsia="仿宋" w:cs="仿宋"/>
          <w:bCs/>
          <w:kern w:val="0"/>
          <w:sz w:val="24"/>
          <w:szCs w:val="24"/>
        </w:rPr>
        <w:t>专业前的必修课程如果在新专业的转专业后的学期中也开设，在学时学分低于新专业的要求时，由专业负责人根据课程内容差异情况审核，给出是否可免修此课的意见，同时指定补修课程以补齐学分。</w:t>
      </w:r>
    </w:p>
    <w:p>
      <w:pPr>
        <w:spacing w:beforeLines="50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pacing w:beforeLines="50"/>
        <w:jc w:val="righ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机械与储运工程学院</w:t>
      </w:r>
    </w:p>
    <w:p>
      <w:pPr>
        <w:spacing w:beforeLines="50"/>
        <w:jc w:val="righ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b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仿宋"/>
          <w:b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CDD"/>
    <w:multiLevelType w:val="singleLevel"/>
    <w:tmpl w:val="58212C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107BD9"/>
    <w:rsid w:val="003E544B"/>
    <w:rsid w:val="004F460E"/>
    <w:rsid w:val="006A468D"/>
    <w:rsid w:val="006A58F4"/>
    <w:rsid w:val="007B6660"/>
    <w:rsid w:val="009220D1"/>
    <w:rsid w:val="009B665A"/>
    <w:rsid w:val="00D7500D"/>
    <w:rsid w:val="058E1C40"/>
    <w:rsid w:val="0C97308C"/>
    <w:rsid w:val="15E71C89"/>
    <w:rsid w:val="1E107BD9"/>
    <w:rsid w:val="232E2084"/>
    <w:rsid w:val="384E6FF3"/>
    <w:rsid w:val="3EA61FB4"/>
    <w:rsid w:val="4062448A"/>
    <w:rsid w:val="526B189B"/>
    <w:rsid w:val="53050DAF"/>
    <w:rsid w:val="54921613"/>
    <w:rsid w:val="5D4B7E3A"/>
    <w:rsid w:val="65830CEF"/>
    <w:rsid w:val="739E785D"/>
    <w:rsid w:val="75932474"/>
    <w:rsid w:val="7A6A1F67"/>
    <w:rsid w:val="7E7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rFonts w:ascii="宋体" w:hAnsi="宋体" w:eastAsia="宋体" w:cs="宋体"/>
      <w:color w:val="007CD2"/>
      <w:sz w:val="24"/>
      <w:szCs w:val="24"/>
      <w:u w:val="none"/>
    </w:rPr>
  </w:style>
  <w:style w:type="character" w:styleId="8">
    <w:name w:val="Hyperlink"/>
    <w:basedOn w:val="6"/>
    <w:uiPriority w:val="0"/>
    <w:rPr>
      <w:rFonts w:ascii="宋体" w:hAnsi="宋体" w:eastAsia="宋体" w:cs="宋体"/>
      <w:color w:val="007CD2"/>
      <w:sz w:val="24"/>
      <w:szCs w:val="24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627</Characters>
  <Lines>5</Lines>
  <Paragraphs>1</Paragraphs>
  <TotalTime>9</TotalTime>
  <ScaleCrop>false</ScaleCrop>
  <LinksUpToDate>false</LinksUpToDate>
  <CharactersWithSpaces>735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2019-05-06T01:26:00Z</dcterms:created>
  <dc:creator>bianli</dc:creator>
  <cp:lastModifiedBy>Administrator</cp:lastModifiedBy>
  <dcterms:modified xsi:type="dcterms:W3CDTF">2020-04-30T03:00:36Z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