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C6" w:rsidRDefault="00DF74C6">
      <w:pPr>
        <w:snapToGrid w:val="0"/>
        <w:spacing w:line="560" w:lineRule="exact"/>
        <w:rPr>
          <w:rFonts w:ascii="仿宋_GB2312" w:eastAsia="仿宋_GB2312"/>
          <w:sz w:val="32"/>
        </w:rPr>
      </w:pPr>
      <w:bookmarkStart w:id="0" w:name="RANGE!A1:F14"/>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jc w:val="center"/>
        <w:rPr>
          <w:rFonts w:eastAsia="方正小标宋简体"/>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sz w:val="48"/>
        </w:rPr>
      </w:pPr>
    </w:p>
    <w:p w:rsidR="00DF74C6" w:rsidRDefault="00DF74C6">
      <w:pPr>
        <w:jc w:val="center"/>
        <w:rPr>
          <w:sz w:val="48"/>
        </w:rPr>
      </w:pPr>
    </w:p>
    <w:p w:rsidR="00D921DE" w:rsidRDefault="00D921DE" w:rsidP="00D921D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F74C6" w:rsidRDefault="00D921DE">
      <w:pPr>
        <w:spacing w:line="360" w:lineRule="auto"/>
        <w:ind w:firstLineChars="150" w:firstLine="540"/>
        <w:rPr>
          <w:rFonts w:eastAsia="楷体_GB2312"/>
          <w:sz w:val="36"/>
          <w:u w:val="single"/>
        </w:rPr>
      </w:pPr>
      <w:r>
        <w:rPr>
          <w:rFonts w:eastAsia="楷体_GB2312" w:hint="eastAsia"/>
          <w:sz w:val="36"/>
        </w:rPr>
        <w:t>专利权人</w:t>
      </w:r>
      <w:r w:rsidR="00DF74C6">
        <w:rPr>
          <w:rFonts w:eastAsia="楷体_GB2312" w:hint="eastAsia"/>
          <w:sz w:val="36"/>
        </w:rPr>
        <w:t>：</w:t>
      </w:r>
      <w:r w:rsidR="00DF74C6">
        <w:rPr>
          <w:rFonts w:eastAsia="楷体_GB2312" w:hint="eastAsia"/>
          <w:sz w:val="36"/>
          <w:u w:val="single"/>
        </w:rPr>
        <w:t xml:space="preserve">       </w:t>
      </w:r>
      <w:bookmarkStart w:id="1" w:name="_GoBack"/>
      <w:bookmarkEnd w:id="1"/>
      <w:r w:rsidR="00DF74C6">
        <w:rPr>
          <w:rFonts w:eastAsia="楷体_GB2312" w:hint="eastAsia"/>
          <w:sz w:val="36"/>
          <w:u w:val="single"/>
        </w:rPr>
        <w:t xml:space="preserve">                       </w:t>
      </w:r>
    </w:p>
    <w:p w:rsidR="00DF74C6" w:rsidRDefault="00DF74C6">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jc w:val="center"/>
        <w:rPr>
          <w:rFonts w:eastAsia="楷体_GB2312"/>
          <w:sz w:val="36"/>
        </w:rPr>
      </w:pPr>
      <w:r>
        <w:rPr>
          <w:rFonts w:eastAsia="楷体_GB2312" w:hint="eastAsia"/>
          <w:sz w:val="36"/>
        </w:rPr>
        <w:t>二○</w:t>
      </w:r>
      <w:r w:rsidR="00D921DE">
        <w:rPr>
          <w:rFonts w:eastAsia="楷体_GB2312" w:hint="eastAsia"/>
          <w:sz w:val="36"/>
        </w:rPr>
        <w:t>一六年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sz w:val="36"/>
        </w:rPr>
      </w:pPr>
      <w:r>
        <w:rPr>
          <w:rFonts w:eastAsia="楷体_GB2312" w:hint="eastAsia"/>
          <w:sz w:val="36"/>
        </w:rPr>
        <w:t>中华人民共和国国家知识产权局制</w:t>
      </w:r>
    </w:p>
    <w:p w:rsidR="00DF74C6" w:rsidRDefault="00DF74C6">
      <w:pPr>
        <w:spacing w:line="560" w:lineRule="exact"/>
        <w:rPr>
          <w:rFonts w:eastAsia="黑体"/>
        </w:rPr>
      </w:pPr>
      <w:r>
        <w:rPr>
          <w:rFonts w:eastAsia="黑体"/>
        </w:rPr>
        <w:br w:type="page"/>
      </w:r>
    </w:p>
    <w:p w:rsidR="00DF74C6" w:rsidRDefault="00DF74C6">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b/>
          <w:kern w:val="0"/>
          <w:sz w:val="44"/>
          <w:szCs w:val="44"/>
        </w:rPr>
      </w:pPr>
    </w:p>
    <w:tbl>
      <w:tblPr>
        <w:tblW w:w="5000" w:type="pct"/>
        <w:tblLook w:val="0000" w:firstRow="0" w:lastRow="0" w:firstColumn="0" w:lastColumn="0" w:noHBand="0" w:noVBand="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1"/>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kern w:val="0"/>
                <w:sz w:val="28"/>
                <w:szCs w:val="28"/>
              </w:rPr>
            </w:pPr>
          </w:p>
          <w:p w:rsidR="00705A98" w:rsidRDefault="00705A98" w:rsidP="00705A98">
            <w:pPr>
              <w:widowControl/>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/院士</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p w:rsidR="00705A98" w:rsidRDefault="00705A98">
            <w:pPr>
              <w:widowControl/>
              <w:jc w:val="center"/>
              <w:rPr>
                <w:rFonts w:ascii="仿宋_GB2312" w:eastAsia="仿宋_GB2312" w:hAnsi="宋体" w:cs="宋体"/>
                <w:kern w:val="0"/>
                <w:sz w:val="28"/>
                <w:szCs w:val="28"/>
              </w:rPr>
            </w:pPr>
          </w:p>
        </w:tc>
      </w:tr>
    </w:tbl>
    <w:p w:rsidR="00DF74C6" w:rsidRDefault="00DF74C6"/>
    <w:p w:rsidR="00DF74C6" w:rsidRDefault="00DF74C6"/>
    <w:p w:rsidR="00DF74C6" w:rsidRDefault="00DF74C6">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sz w:val="24"/>
              </w:rPr>
            </w:pPr>
          </w:p>
        </w:tc>
      </w:tr>
    </w:tbl>
    <w:p w:rsidR="00DF74C6" w:rsidRDefault="00DF74C6"/>
    <w:p w:rsidR="00DF74C6" w:rsidRDefault="00DF74C6">
      <w:pPr>
        <w:spacing w:line="660" w:lineRule="exact"/>
        <w:jc w:val="center"/>
        <w:rPr>
          <w:rFonts w:eastAsia="方正小标宋简体"/>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 w:rsidR="00DF74C6" w:rsidRDefault="00DF74C6">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DF74C6">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：详细说明专利权人在与专利运用及保护有关的制度建设情况，以及条件保障措施和执行情况等。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pPr>
    </w:p>
    <w:p w:rsidR="00DF74C6" w:rsidRDefault="00DF74C6">
      <w:pPr>
        <w:jc w:val="center"/>
        <w:rPr>
          <w:rFonts w:eastAsia="方正小标宋简体"/>
          <w:szCs w:val="21"/>
        </w:rPr>
      </w:pPr>
    </w:p>
    <w:p w:rsidR="00DF74C6" w:rsidRDefault="00DF74C6">
      <w:pPr>
        <w:jc w:val="center"/>
        <w:rPr>
          <w:rFonts w:eastAsia="方正小标宋简体"/>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40"/>
        <w:gridCol w:w="1260"/>
        <w:gridCol w:w="1080"/>
        <w:gridCol w:w="659"/>
        <w:gridCol w:w="1247"/>
        <w:gridCol w:w="1424"/>
      </w:tblGrid>
      <w:tr w:rsidR="00DF74C6">
        <w:trPr>
          <w:cantSplit/>
          <w:trHeight w:val="916"/>
          <w:jc w:val="center"/>
        </w:trPr>
        <w:tc>
          <w:tcPr>
            <w:tcW w:w="9155" w:type="dxa"/>
            <w:gridSpan w:val="7"/>
            <w:vAlign w:val="center"/>
          </w:tcPr>
          <w:p w:rsidR="00DF74C6" w:rsidRDefault="00DF74C6">
            <w:pPr>
              <w:spacing w:line="400" w:lineRule="exact"/>
              <w:rPr>
                <w:rFonts w:ascii="仿宋_GB2312" w:eastAsia="仿宋_GB2312"/>
                <w:sz w:val="24"/>
              </w:rPr>
            </w:pPr>
            <w:r>
              <w:rPr>
                <w:rFonts w:ascii="仿宋_GB2312" w:eastAsia="仿宋_GB2312" w:hint="eastAsia"/>
                <w:b/>
                <w:sz w:val="24"/>
              </w:rPr>
              <w:t>（四）经济效益</w:t>
            </w:r>
          </w:p>
        </w:tc>
      </w:tr>
      <w:tr w:rsidR="00DF74C6">
        <w:trPr>
          <w:cantSplit/>
          <w:trHeight w:val="616"/>
          <w:jc w:val="center"/>
        </w:trPr>
        <w:tc>
          <w:tcPr>
            <w:tcW w:w="9155" w:type="dxa"/>
            <w:gridSpan w:val="7"/>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15</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pPr>
              <w:spacing w:line="400" w:lineRule="exact"/>
              <w:jc w:val="center"/>
              <w:rPr>
                <w:rFonts w:ascii="仿宋_GB2312" w:eastAsia="仿宋_GB2312"/>
                <w:sz w:val="24"/>
              </w:rPr>
            </w:pPr>
            <w:r>
              <w:rPr>
                <w:rFonts w:ascii="仿宋_GB2312" w:eastAsia="仿宋_GB2312" w:hint="eastAsia"/>
                <w:sz w:val="24"/>
              </w:rPr>
              <w:t>2014</w:t>
            </w:r>
            <w:r w:rsidR="00DF74C6">
              <w:rPr>
                <w:rFonts w:ascii="仿宋_GB2312" w:eastAsia="仿宋_GB2312" w:hint="eastAsia"/>
                <w:sz w:val="24"/>
              </w:rPr>
              <w:t>年初至</w:t>
            </w:r>
            <w:r>
              <w:rPr>
                <w:rFonts w:ascii="仿宋_GB2312" w:eastAsia="仿宋_GB2312" w:hint="eastAsia"/>
                <w:sz w:val="24"/>
              </w:rPr>
              <w:t>2015</w:t>
            </w:r>
            <w:r w:rsidR="00DF74C6">
              <w:rPr>
                <w:rFonts w:ascii="仿宋_GB2312" w:eastAsia="仿宋_GB2312" w:hint="eastAsia"/>
                <w:sz w:val="24"/>
              </w:rPr>
              <w:t>年底</w:t>
            </w: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331"/>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B07735">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trPr>
          <w:cantSplit/>
          <w:trHeight w:val="615"/>
          <w:jc w:val="center"/>
        </w:trPr>
        <w:tc>
          <w:tcPr>
            <w:tcW w:w="9155" w:type="dxa"/>
            <w:gridSpan w:val="7"/>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C46602">
              <w:rPr>
                <w:rFonts w:ascii="仿宋_GB2312" w:eastAsia="仿宋_GB2312" w:hint="eastAsia"/>
                <w:sz w:val="24"/>
              </w:rPr>
              <w:t>5</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lastRenderedPageBreak/>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pPr>
        <w:jc w:val="center"/>
        <w:rPr>
          <w:rFonts w:eastAsia="方正小标宋简体"/>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Pr>
        <w:jc w:val="center"/>
        <w:rPr>
          <w:rFonts w:eastAsia="方正小标宋简体"/>
          <w:b/>
          <w:sz w:val="44"/>
        </w:rPr>
      </w:pPr>
      <w:r>
        <w:rPr>
          <w:rFonts w:eastAsia="方正小标宋简体" w:hint="eastAsia"/>
          <w:b/>
          <w:sz w:val="44"/>
        </w:rPr>
        <w:lastRenderedPageBreak/>
        <w:t>六、获奖情况</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1B" w:rsidRDefault="00B80F1B">
      <w:r>
        <w:separator/>
      </w:r>
    </w:p>
  </w:endnote>
  <w:endnote w:type="continuationSeparator" w:id="0">
    <w:p w:rsidR="00B80F1B" w:rsidRDefault="00B8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1B" w:rsidRDefault="00B80F1B">
      <w:r>
        <w:separator/>
      </w:r>
    </w:p>
  </w:footnote>
  <w:footnote w:type="continuationSeparator" w:id="0">
    <w:p w:rsidR="00B80F1B" w:rsidRDefault="00B80F1B">
      <w:r>
        <w:continuationSeparator/>
      </w:r>
    </w:p>
  </w:footnote>
  <w:footnote w:id="1">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14BBD"/>
    <w:rsid w:val="0002119E"/>
    <w:rsid w:val="000673B6"/>
    <w:rsid w:val="00110525"/>
    <w:rsid w:val="0027791D"/>
    <w:rsid w:val="00353184"/>
    <w:rsid w:val="00384C66"/>
    <w:rsid w:val="003D08E4"/>
    <w:rsid w:val="00457520"/>
    <w:rsid w:val="00472DAD"/>
    <w:rsid w:val="00481B5A"/>
    <w:rsid w:val="00494183"/>
    <w:rsid w:val="004A2D57"/>
    <w:rsid w:val="005116C8"/>
    <w:rsid w:val="00623342"/>
    <w:rsid w:val="00642594"/>
    <w:rsid w:val="006B05E8"/>
    <w:rsid w:val="00705977"/>
    <w:rsid w:val="00705A98"/>
    <w:rsid w:val="0075587A"/>
    <w:rsid w:val="007C67CA"/>
    <w:rsid w:val="007E0C2F"/>
    <w:rsid w:val="00845483"/>
    <w:rsid w:val="00867B0C"/>
    <w:rsid w:val="00895DAA"/>
    <w:rsid w:val="008D6064"/>
    <w:rsid w:val="008D7EE7"/>
    <w:rsid w:val="00917CBA"/>
    <w:rsid w:val="00A0638B"/>
    <w:rsid w:val="00A97528"/>
    <w:rsid w:val="00AC640D"/>
    <w:rsid w:val="00B07735"/>
    <w:rsid w:val="00B16565"/>
    <w:rsid w:val="00B80F1B"/>
    <w:rsid w:val="00BA0D1A"/>
    <w:rsid w:val="00C46602"/>
    <w:rsid w:val="00CD295F"/>
    <w:rsid w:val="00D241E8"/>
    <w:rsid w:val="00D41D8E"/>
    <w:rsid w:val="00D468DC"/>
    <w:rsid w:val="00D921DE"/>
    <w:rsid w:val="00DB58EA"/>
    <w:rsid w:val="00DC0427"/>
    <w:rsid w:val="00DF74C6"/>
    <w:rsid w:val="00F3107A"/>
    <w:rsid w:val="00F531A9"/>
    <w:rsid w:val="00F71CDB"/>
    <w:rsid w:val="00FD4962"/>
    <w:rsid w:val="00FD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CD29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D295F"/>
    <w:rPr>
      <w:kern w:val="2"/>
      <w:sz w:val="18"/>
      <w:szCs w:val="18"/>
    </w:rPr>
  </w:style>
  <w:style w:type="paragraph" w:styleId="a6">
    <w:name w:val="footer"/>
    <w:basedOn w:val="a"/>
    <w:link w:val="Char1"/>
    <w:rsid w:val="00CD295F"/>
    <w:pPr>
      <w:tabs>
        <w:tab w:val="center" w:pos="4153"/>
        <w:tab w:val="right" w:pos="8306"/>
      </w:tabs>
      <w:snapToGrid w:val="0"/>
      <w:jc w:val="left"/>
    </w:pPr>
    <w:rPr>
      <w:sz w:val="18"/>
      <w:szCs w:val="18"/>
    </w:rPr>
  </w:style>
  <w:style w:type="character" w:customStyle="1" w:styleId="Char1">
    <w:name w:val="页脚 Char"/>
    <w:basedOn w:val="a0"/>
    <w:link w:val="a6"/>
    <w:rsid w:val="00CD295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CD29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D295F"/>
    <w:rPr>
      <w:kern w:val="2"/>
      <w:sz w:val="18"/>
      <w:szCs w:val="18"/>
    </w:rPr>
  </w:style>
  <w:style w:type="paragraph" w:styleId="a6">
    <w:name w:val="footer"/>
    <w:basedOn w:val="a"/>
    <w:link w:val="Char1"/>
    <w:rsid w:val="00CD295F"/>
    <w:pPr>
      <w:tabs>
        <w:tab w:val="center" w:pos="4153"/>
        <w:tab w:val="right" w:pos="8306"/>
      </w:tabs>
      <w:snapToGrid w:val="0"/>
      <w:jc w:val="left"/>
    </w:pPr>
    <w:rPr>
      <w:sz w:val="18"/>
      <w:szCs w:val="18"/>
    </w:rPr>
  </w:style>
  <w:style w:type="character" w:customStyle="1" w:styleId="Char1">
    <w:name w:val="页脚 Char"/>
    <w:basedOn w:val="a0"/>
    <w:link w:val="a6"/>
    <w:rsid w:val="00CD29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Company>CHINA</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路宏波</dc:creator>
  <cp:lastModifiedBy>yaotong</cp:lastModifiedBy>
  <cp:revision>4</cp:revision>
  <cp:lastPrinted>2016-02-22T02:46:00Z</cp:lastPrinted>
  <dcterms:created xsi:type="dcterms:W3CDTF">2016-03-30T08:20:00Z</dcterms:created>
  <dcterms:modified xsi:type="dcterms:W3CDTF">2016-03-31T00:36:00Z</dcterms:modified>
</cp:coreProperties>
</file>