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9C" w:rsidRPr="00E96D9C" w:rsidRDefault="00E96D9C" w:rsidP="00E96D9C">
      <w:pPr>
        <w:widowControl/>
        <w:spacing w:line="525" w:lineRule="atLeast"/>
        <w:jc w:val="center"/>
        <w:outlineLvl w:val="1"/>
        <w:rPr>
          <w:rFonts w:ascii="微软雅黑" w:eastAsia="微软雅黑" w:hAnsi="微软雅黑" w:cs="宋体"/>
          <w:color w:val="000000"/>
          <w:kern w:val="36"/>
          <w:sz w:val="36"/>
          <w:szCs w:val="36"/>
        </w:rPr>
      </w:pPr>
      <w:bookmarkStart w:id="0" w:name="_GoBack"/>
      <w:r w:rsidRPr="00E96D9C">
        <w:rPr>
          <w:rFonts w:ascii="微软雅黑" w:eastAsia="微软雅黑" w:hAnsi="微软雅黑" w:cs="宋体" w:hint="eastAsia"/>
          <w:color w:val="000000"/>
          <w:kern w:val="36"/>
          <w:sz w:val="36"/>
          <w:szCs w:val="36"/>
        </w:rPr>
        <w:t>关于组织申报2016年度中国石油科技创新基金项目的通知</w:t>
      </w:r>
      <w:bookmarkEnd w:id="0"/>
      <w:r w:rsidRPr="00E96D9C">
        <w:rPr>
          <w:rFonts w:ascii="微软雅黑" w:eastAsia="微软雅黑" w:hAnsi="微软雅黑" w:cs="宋体" w:hint="eastAsia"/>
          <w:color w:val="000000"/>
          <w:kern w:val="36"/>
          <w:sz w:val="36"/>
          <w:szCs w:val="36"/>
        </w:rPr>
        <w:t xml:space="preserve"> </w:t>
      </w:r>
    </w:p>
    <w:p w:rsidR="00E96D9C" w:rsidRPr="00E96D9C" w:rsidRDefault="00E96D9C" w:rsidP="00E96D9C">
      <w:pPr>
        <w:widowControl/>
        <w:spacing w:line="525" w:lineRule="atLeast"/>
        <w:jc w:val="center"/>
        <w:outlineLvl w:val="1"/>
        <w:rPr>
          <w:rFonts w:ascii="微软雅黑" w:eastAsia="微软雅黑" w:hAnsi="微软雅黑" w:cs="宋体" w:hint="eastAsia"/>
          <w:vanish/>
          <w:color w:val="000000"/>
          <w:kern w:val="36"/>
          <w:sz w:val="36"/>
          <w:szCs w:val="36"/>
        </w:rPr>
      </w:pPr>
      <w:r w:rsidRPr="00E96D9C">
        <w:rPr>
          <w:rFonts w:ascii="微软雅黑" w:eastAsia="微软雅黑" w:hAnsi="微软雅黑" w:cs="宋体" w:hint="eastAsia"/>
          <w:vanish/>
          <w:color w:val="000000"/>
          <w:kern w:val="36"/>
          <w:sz w:val="36"/>
          <w:szCs w:val="36"/>
        </w:rPr>
        <w:t xml:space="preserve">关于组织申报2016年度中国石油科技创新基金项目的通知 </w:t>
      </w:r>
    </w:p>
    <w:p w:rsidR="00E96D9C" w:rsidRPr="00E96D9C" w:rsidRDefault="00E96D9C" w:rsidP="00E96D9C">
      <w:pPr>
        <w:widowControl/>
        <w:spacing w:line="450" w:lineRule="atLeast"/>
        <w:jc w:val="right"/>
        <w:rPr>
          <w:rFonts w:ascii="宋体" w:eastAsia="宋体" w:hAnsi="宋体" w:cs="宋体" w:hint="eastAsia"/>
          <w:color w:val="787878"/>
          <w:kern w:val="0"/>
          <w:szCs w:val="21"/>
        </w:rPr>
      </w:pPr>
      <w:r w:rsidRPr="00E96D9C">
        <w:rPr>
          <w:rFonts w:ascii="微软雅黑" w:eastAsia="微软雅黑" w:hAnsi="微软雅黑" w:cs="宋体" w:hint="eastAsia"/>
          <w:vanish/>
          <w:color w:val="000000"/>
          <w:kern w:val="36"/>
          <w:sz w:val="36"/>
          <w:szCs w:val="36"/>
        </w:rPr>
        <w:pict/>
      </w:r>
      <w:r w:rsidRPr="00E96D9C">
        <w:rPr>
          <w:rFonts w:ascii="宋体" w:eastAsia="宋体" w:hAnsi="宋体" w:cs="宋体"/>
          <w:color w:val="5A5A5A"/>
          <w:kern w:val="0"/>
          <w:szCs w:val="21"/>
        </w:rPr>
        <w:t xml:space="preserve">2016/05/06 </w:t>
      </w:r>
      <w:r w:rsidRPr="00E96D9C">
        <w:rPr>
          <w:rFonts w:ascii="宋体" w:eastAsia="宋体" w:hAnsi="宋体" w:cs="宋体"/>
          <w:color w:val="787878"/>
          <w:kern w:val="0"/>
          <w:szCs w:val="21"/>
        </w:rPr>
        <w:t>信息来源：</w:t>
      </w:r>
      <w:r w:rsidRPr="00E96D9C">
        <w:rPr>
          <w:rFonts w:ascii="宋体" w:eastAsia="宋体" w:hAnsi="宋体" w:cs="宋体" w:hint="eastAsia"/>
          <w:color w:val="787878"/>
          <w:kern w:val="0"/>
          <w:szCs w:val="21"/>
        </w:rPr>
        <w:t xml:space="preserve"> </w:t>
      </w:r>
    </w:p>
    <w:p w:rsidR="00E96D9C" w:rsidRPr="00E96D9C" w:rsidRDefault="00E96D9C" w:rsidP="00E96D9C">
      <w:pPr>
        <w:widowControl/>
        <w:spacing w:line="405" w:lineRule="atLeast"/>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各有关单位：</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为了充分发挥国内有实力的科研单位、高等院校在石油石化领域科技创新方面的研究优势，鼓励中青年科技人员围绕中国石油主营业务的技术需求，开展原创性、基础性研究和前沿技术探索，加快提升中国石油核心技术竞争能力，中国石油设立科技创新基金。现组织开展2016年度中国石油科技创新基金项目的申报工作，有关事项通知如下：</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一、项目申报方向</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1、地质勘探</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（1）超深层储层孔隙演化、有利储层评价预测新方法</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（2）古老碳酸盐岩跨构造期高效成藏评价方法与技术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（3）低孔隙储层有效性与含油气评价方法与技术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（4）海洋资源与目标一体化评价方法与技术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（5）页岩气储层评价技术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2、油气田开发</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（1）超低渗透/致密油气藏提高采收率技术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（2）超高压、深层碳酸盐岩油气藏提高采收率技术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（3）智能纳米化学驱油剂</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（4）超稠油地下原位改质化学剂</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（5）天然气水合物有效开采技术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（6）钻采作业废渣废液环保处理与综合利用技术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3、工程技术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（1）光纤传感技术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（2）绕射波成像新技术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（3）电频谱测井关键技术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（4）超高温高压测井关键技术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（5）自清洁/润滑等破岩新方法新技术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（6）智能钻井基础理论与方法</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4、石油炼制与化工</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（1）重质油品烃类分子层次认识及表征方法</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（2）石脑油等</w:t>
      </w:r>
      <w:proofErr w:type="gramStart"/>
      <w:r w:rsidRPr="00E96D9C">
        <w:rPr>
          <w:rFonts w:ascii="宋体" w:eastAsia="宋体" w:hAnsi="宋体" w:cs="宋体" w:hint="eastAsia"/>
          <w:color w:val="333333"/>
          <w:kern w:val="0"/>
          <w:szCs w:val="21"/>
        </w:rPr>
        <w:t>馏</w:t>
      </w:r>
      <w:proofErr w:type="gramEnd"/>
      <w:r w:rsidRPr="00E96D9C">
        <w:rPr>
          <w:rFonts w:ascii="宋体" w:eastAsia="宋体" w:hAnsi="宋体" w:cs="宋体" w:hint="eastAsia"/>
          <w:color w:val="333333"/>
          <w:kern w:val="0"/>
          <w:szCs w:val="21"/>
        </w:rPr>
        <w:t>份中烷烃、环烷烃高效低能耗分离新方法</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（3）等级孔复合材料等新结构高性能催化材料</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lastRenderedPageBreak/>
        <w:t>（4）纳米技术、石墨</w:t>
      </w:r>
      <w:proofErr w:type="gramStart"/>
      <w:r w:rsidRPr="00E96D9C">
        <w:rPr>
          <w:rFonts w:ascii="宋体" w:eastAsia="宋体" w:hAnsi="宋体" w:cs="宋体" w:hint="eastAsia"/>
          <w:color w:val="333333"/>
          <w:kern w:val="0"/>
          <w:szCs w:val="21"/>
        </w:rPr>
        <w:t>烯</w:t>
      </w:r>
      <w:proofErr w:type="gramEnd"/>
      <w:r w:rsidRPr="00E96D9C">
        <w:rPr>
          <w:rFonts w:ascii="宋体" w:eastAsia="宋体" w:hAnsi="宋体" w:cs="宋体" w:hint="eastAsia"/>
          <w:color w:val="333333"/>
          <w:kern w:val="0"/>
          <w:szCs w:val="21"/>
        </w:rPr>
        <w:t>材料等应用于合成树脂、合成橡胶、润滑剂等改性技术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（5）3D打印用合成材料</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（6）光催化、生物法、电解水、硫化氢脱硫等制氢新技术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（7）氢燃料电池等高效储能材料</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（8）大数据技术在炼化过程中的应用</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（9）智能化炼厂新技术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（10）生物燃料及生物化工品生产新技术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5、地面与管道工程</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（1）油气田地面工艺新技术及高效处理设备</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（2）非金属与复合材料增强钢管开发技术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（3）油气长输管道系统输送安全可靠性技术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（4）海底管道在役稳定性分析、风险评价技术</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二、申请与立项</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1、面向对象</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各有关高校、科研院所的科技工作者，鼓励跨专业、跨单位的合作研究。</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2、申请条件</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（1）申请者1971年1月1日后出生，已取得博士学位或具有中级以上技术职称。需由两名教授或教授级高工推荐，推荐者应认真负责地介绍申请者业务素质、研究能力和申请项目的必要性及可行性；</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（2）承担中国石油创新基金项目还未验收结题的人员不得申报；</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（3）近三年承担中国石油创新基金项目中评估或验收未通过的人员不得申报；</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（4）申请者必须是第一承担人；</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（5）申请者具有独立研究能力和一定的研究基础；</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（6）申请者单位具有一定的实验条件和评价手段；</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（7）由申请者单位审核推荐，并给予相应的担保和支持；</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（8）石油高校限报20项，其他单位限报5项。</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3、申报说明</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（1）申报单位和申请人接受并承诺遵守中国石油科技创新基金项目管理有关规定。</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（2）下载并填报立项建议书，申报项目要突出重点。</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（3）资助项目约50项，每项资助经费不超过20万元。</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（4）统一申报。由申报单位科技管理部门统一组织申报工作，负责筛选把关，限额排序优先推荐。申报中国石油科技创新基金的项目不得拆分另行申报其它基金项目。</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（5）项目申请采取集中受理的方式。由项目申报单位提交符合条件的立项建议书Word文件、项目汇总清单Excel文件和项目汇总清单扫描件等三个电子文件。立项建议书文件名</w:t>
      </w:r>
      <w:r w:rsidRPr="00E96D9C">
        <w:rPr>
          <w:rFonts w:ascii="宋体" w:eastAsia="宋体" w:hAnsi="宋体" w:cs="宋体" w:hint="eastAsia"/>
          <w:color w:val="333333"/>
          <w:kern w:val="0"/>
          <w:szCs w:val="21"/>
        </w:rPr>
        <w:lastRenderedPageBreak/>
        <w:t>格式为：单位名称－专业名称－申请人姓名－项目名称．doc，签字或盖章页用扫描页替换。项目汇总清单Excel文件名格式为：单位名称．</w:t>
      </w:r>
      <w:proofErr w:type="spellStart"/>
      <w:r w:rsidRPr="00E96D9C">
        <w:rPr>
          <w:rFonts w:ascii="宋体" w:eastAsia="宋体" w:hAnsi="宋体" w:cs="宋体" w:hint="eastAsia"/>
          <w:color w:val="333333"/>
          <w:kern w:val="0"/>
          <w:szCs w:val="21"/>
        </w:rPr>
        <w:t>xls</w:t>
      </w:r>
      <w:proofErr w:type="spellEnd"/>
      <w:r w:rsidRPr="00E96D9C">
        <w:rPr>
          <w:rFonts w:ascii="宋体" w:eastAsia="宋体" w:hAnsi="宋体" w:cs="宋体" w:hint="eastAsia"/>
          <w:color w:val="333333"/>
          <w:kern w:val="0"/>
          <w:szCs w:val="21"/>
        </w:rPr>
        <w:t>。</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（6）申报期限。项目申报受理截止日期为2016年5月30日，逾期不予受理。</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4、评审与立项</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中国石油科技管理部将按照科技创新基金项目管理有关规定和程序，通过专家评议、择优支持的方式和“公开、公平、公正”的原则组织专家对申报项目进行评审。通过论证项目由科技管理部下文，并委托中国石油勘探开发研究院或中国石油石油化工研究院与申报单位签订《中国石油科技创新基金研究项目合同书》。</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b/>
          <w:bCs/>
          <w:color w:val="333333"/>
          <w:kern w:val="0"/>
          <w:szCs w:val="21"/>
        </w:rPr>
        <w:t>三、联系方式</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通讯地址：北京市东城区东直门北大街9号中国石油大厦科技管理部D1709</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邮编：100007</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联系人：江如意</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电话：010－5998279013321183360</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传真：010－62099470</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电子邮箱：</w:t>
      </w:r>
      <w:proofErr w:type="spellStart"/>
      <w:r w:rsidRPr="00E96D9C">
        <w:rPr>
          <w:rFonts w:ascii="宋体" w:eastAsia="宋体" w:hAnsi="宋体" w:cs="宋体" w:hint="eastAsia"/>
          <w:color w:val="333333"/>
          <w:kern w:val="0"/>
          <w:szCs w:val="21"/>
        </w:rPr>
        <w:t>jiangruyi</w:t>
      </w:r>
      <w:proofErr w:type="spellEnd"/>
      <w:r w:rsidRPr="00E96D9C">
        <w:rPr>
          <w:rFonts w:ascii="宋体" w:eastAsia="宋体" w:hAnsi="宋体" w:cs="宋体" w:hint="eastAsia"/>
          <w:color w:val="333333"/>
          <w:kern w:val="0"/>
          <w:szCs w:val="21"/>
        </w:rPr>
        <w:t>＠</w:t>
      </w:r>
      <w:proofErr w:type="spellStart"/>
      <w:r w:rsidRPr="00E96D9C">
        <w:rPr>
          <w:rFonts w:ascii="宋体" w:eastAsia="宋体" w:hAnsi="宋体" w:cs="宋体" w:hint="eastAsia"/>
          <w:color w:val="333333"/>
          <w:kern w:val="0"/>
          <w:szCs w:val="21"/>
        </w:rPr>
        <w:t>petrochina</w:t>
      </w:r>
      <w:proofErr w:type="spellEnd"/>
      <w:r w:rsidRPr="00E96D9C">
        <w:rPr>
          <w:rFonts w:ascii="宋体" w:eastAsia="宋体" w:hAnsi="宋体" w:cs="宋体" w:hint="eastAsia"/>
          <w:color w:val="333333"/>
          <w:kern w:val="0"/>
          <w:szCs w:val="21"/>
        </w:rPr>
        <w:t>．com．</w:t>
      </w:r>
      <w:proofErr w:type="spellStart"/>
      <w:proofErr w:type="gramStart"/>
      <w:r w:rsidRPr="00E96D9C">
        <w:rPr>
          <w:rFonts w:ascii="宋体" w:eastAsia="宋体" w:hAnsi="宋体" w:cs="宋体" w:hint="eastAsia"/>
          <w:color w:val="333333"/>
          <w:kern w:val="0"/>
          <w:szCs w:val="21"/>
        </w:rPr>
        <w:t>cn</w:t>
      </w:r>
      <w:proofErr w:type="spellEnd"/>
      <w:proofErr w:type="gramEnd"/>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附件：</w:t>
      </w:r>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1、</w:t>
      </w:r>
      <w:hyperlink r:id="rId7" w:tgtFrame="_blank" w:history="1">
        <w:r w:rsidRPr="00E96D9C">
          <w:rPr>
            <w:rFonts w:ascii="宋体" w:eastAsia="宋体" w:hAnsi="宋体" w:cs="宋体" w:hint="eastAsia"/>
            <w:color w:val="787878"/>
            <w:kern w:val="0"/>
            <w:szCs w:val="21"/>
          </w:rPr>
          <w:t>中国石油科技创新基金项目管理办法.</w:t>
        </w:r>
        <w:proofErr w:type="gramStart"/>
        <w:r w:rsidRPr="00E96D9C">
          <w:rPr>
            <w:rFonts w:ascii="宋体" w:eastAsia="宋体" w:hAnsi="宋体" w:cs="宋体" w:hint="eastAsia"/>
            <w:color w:val="787878"/>
            <w:kern w:val="0"/>
            <w:szCs w:val="21"/>
          </w:rPr>
          <w:t>pdf</w:t>
        </w:r>
        <w:proofErr w:type="gramEnd"/>
      </w:hyperlink>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w:t>
      </w:r>
      <w:hyperlink r:id="rId8" w:tgtFrame="_blank" w:history="1">
        <w:r w:rsidRPr="00E96D9C">
          <w:rPr>
            <w:rFonts w:ascii="宋体" w:eastAsia="宋体" w:hAnsi="宋体" w:cs="宋体" w:hint="eastAsia"/>
            <w:color w:val="787878"/>
            <w:kern w:val="0"/>
            <w:szCs w:val="21"/>
          </w:rPr>
          <w:t>中国石油科技创新基金研究项目立项建议书.</w:t>
        </w:r>
        <w:proofErr w:type="gramStart"/>
        <w:r w:rsidRPr="00E96D9C">
          <w:rPr>
            <w:rFonts w:ascii="宋体" w:eastAsia="宋体" w:hAnsi="宋体" w:cs="宋体" w:hint="eastAsia"/>
            <w:color w:val="787878"/>
            <w:kern w:val="0"/>
            <w:szCs w:val="21"/>
          </w:rPr>
          <w:t>doc</w:t>
        </w:r>
        <w:proofErr w:type="gramEnd"/>
      </w:hyperlink>
    </w:p>
    <w:p w:rsidR="00E96D9C" w:rsidRPr="00E96D9C" w:rsidRDefault="00E96D9C" w:rsidP="00E96D9C">
      <w:pPr>
        <w:widowControl/>
        <w:spacing w:line="405" w:lineRule="atLeast"/>
        <w:ind w:firstLine="480"/>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3、</w:t>
      </w:r>
      <w:hyperlink r:id="rId9" w:tgtFrame="_blank" w:history="1">
        <w:r w:rsidRPr="00E96D9C">
          <w:rPr>
            <w:rFonts w:ascii="宋体" w:eastAsia="宋体" w:hAnsi="宋体" w:cs="宋体" w:hint="eastAsia"/>
            <w:color w:val="787878"/>
            <w:kern w:val="0"/>
            <w:szCs w:val="21"/>
          </w:rPr>
          <w:t>中国石油科技创新基金研究项目申报汇总表.</w:t>
        </w:r>
        <w:proofErr w:type="gramStart"/>
        <w:r w:rsidRPr="00E96D9C">
          <w:rPr>
            <w:rFonts w:ascii="宋体" w:eastAsia="宋体" w:hAnsi="宋体" w:cs="宋体" w:hint="eastAsia"/>
            <w:color w:val="787878"/>
            <w:kern w:val="0"/>
            <w:szCs w:val="21"/>
          </w:rPr>
          <w:t>xls</w:t>
        </w:r>
        <w:proofErr w:type="gramEnd"/>
      </w:hyperlink>
    </w:p>
    <w:p w:rsidR="00E96D9C" w:rsidRPr="00E96D9C" w:rsidRDefault="00E96D9C" w:rsidP="00E96D9C">
      <w:pPr>
        <w:widowControl/>
        <w:spacing w:line="405" w:lineRule="atLeast"/>
        <w:ind w:firstLine="480"/>
        <w:jc w:val="right"/>
        <w:rPr>
          <w:rFonts w:ascii="宋体" w:eastAsia="宋体" w:hAnsi="宋体" w:cs="宋体" w:hint="eastAsia"/>
          <w:color w:val="333333"/>
          <w:kern w:val="0"/>
          <w:szCs w:val="21"/>
        </w:rPr>
      </w:pPr>
      <w:r w:rsidRPr="00E96D9C">
        <w:rPr>
          <w:rFonts w:ascii="宋体" w:eastAsia="宋体" w:hAnsi="宋体" w:cs="宋体" w:hint="eastAsia"/>
          <w:color w:val="333333"/>
          <w:kern w:val="0"/>
          <w:szCs w:val="21"/>
        </w:rPr>
        <w:t>2016年5月5日</w:t>
      </w:r>
    </w:p>
    <w:p w:rsidR="002756DC" w:rsidRDefault="002756DC"/>
    <w:sectPr w:rsidR="002756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4D" w:rsidRDefault="002A084D" w:rsidP="00E96D9C">
      <w:r>
        <w:separator/>
      </w:r>
    </w:p>
  </w:endnote>
  <w:endnote w:type="continuationSeparator" w:id="0">
    <w:p w:rsidR="002A084D" w:rsidRDefault="002A084D" w:rsidP="00E9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4D" w:rsidRDefault="002A084D" w:rsidP="00E96D9C">
      <w:r>
        <w:separator/>
      </w:r>
    </w:p>
  </w:footnote>
  <w:footnote w:type="continuationSeparator" w:id="0">
    <w:p w:rsidR="002A084D" w:rsidRDefault="002A084D" w:rsidP="00E9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8F"/>
    <w:rsid w:val="002756DC"/>
    <w:rsid w:val="002A084D"/>
    <w:rsid w:val="0060088F"/>
    <w:rsid w:val="00E9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D9C"/>
    <w:rPr>
      <w:sz w:val="18"/>
      <w:szCs w:val="18"/>
    </w:rPr>
  </w:style>
  <w:style w:type="paragraph" w:styleId="a4">
    <w:name w:val="footer"/>
    <w:basedOn w:val="a"/>
    <w:link w:val="Char0"/>
    <w:uiPriority w:val="99"/>
    <w:unhideWhenUsed/>
    <w:rsid w:val="00E96D9C"/>
    <w:pPr>
      <w:tabs>
        <w:tab w:val="center" w:pos="4153"/>
        <w:tab w:val="right" w:pos="8306"/>
      </w:tabs>
      <w:snapToGrid w:val="0"/>
      <w:jc w:val="left"/>
    </w:pPr>
    <w:rPr>
      <w:sz w:val="18"/>
      <w:szCs w:val="18"/>
    </w:rPr>
  </w:style>
  <w:style w:type="character" w:customStyle="1" w:styleId="Char0">
    <w:name w:val="页脚 Char"/>
    <w:basedOn w:val="a0"/>
    <w:link w:val="a4"/>
    <w:uiPriority w:val="99"/>
    <w:rsid w:val="00E96D9C"/>
    <w:rPr>
      <w:sz w:val="18"/>
      <w:szCs w:val="18"/>
    </w:rPr>
  </w:style>
  <w:style w:type="character" w:styleId="a5">
    <w:name w:val="Hyperlink"/>
    <w:basedOn w:val="a0"/>
    <w:uiPriority w:val="99"/>
    <w:semiHidden/>
    <w:unhideWhenUsed/>
    <w:rsid w:val="00E96D9C"/>
    <w:rPr>
      <w:strike w:val="0"/>
      <w:dstrike w:val="0"/>
      <w:color w:val="787878"/>
      <w:u w:val="none"/>
      <w:effect w:val="none"/>
    </w:rPr>
  </w:style>
  <w:style w:type="character" w:customStyle="1" w:styleId="date2">
    <w:name w:val="date2"/>
    <w:basedOn w:val="a0"/>
    <w:rsid w:val="00E96D9C"/>
    <w:rPr>
      <w:rFonts w:ascii="宋体" w:eastAsia="宋体" w:hAnsi="宋体" w:hint="eastAsia"/>
      <w:color w:val="5A5A5A"/>
    </w:rPr>
  </w:style>
  <w:style w:type="character" w:customStyle="1" w:styleId="time2">
    <w:name w:val="time2"/>
    <w:basedOn w:val="a0"/>
    <w:rsid w:val="00E96D9C"/>
    <w:rPr>
      <w:rFonts w:ascii="宋体" w:eastAsia="宋体" w:hAnsi="宋体" w:hint="eastAsia"/>
    </w:rPr>
  </w:style>
  <w:style w:type="character" w:styleId="a6">
    <w:name w:val="Strong"/>
    <w:basedOn w:val="a0"/>
    <w:uiPriority w:val="22"/>
    <w:qFormat/>
    <w:rsid w:val="00E96D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D9C"/>
    <w:rPr>
      <w:sz w:val="18"/>
      <w:szCs w:val="18"/>
    </w:rPr>
  </w:style>
  <w:style w:type="paragraph" w:styleId="a4">
    <w:name w:val="footer"/>
    <w:basedOn w:val="a"/>
    <w:link w:val="Char0"/>
    <w:uiPriority w:val="99"/>
    <w:unhideWhenUsed/>
    <w:rsid w:val="00E96D9C"/>
    <w:pPr>
      <w:tabs>
        <w:tab w:val="center" w:pos="4153"/>
        <w:tab w:val="right" w:pos="8306"/>
      </w:tabs>
      <w:snapToGrid w:val="0"/>
      <w:jc w:val="left"/>
    </w:pPr>
    <w:rPr>
      <w:sz w:val="18"/>
      <w:szCs w:val="18"/>
    </w:rPr>
  </w:style>
  <w:style w:type="character" w:customStyle="1" w:styleId="Char0">
    <w:name w:val="页脚 Char"/>
    <w:basedOn w:val="a0"/>
    <w:link w:val="a4"/>
    <w:uiPriority w:val="99"/>
    <w:rsid w:val="00E96D9C"/>
    <w:rPr>
      <w:sz w:val="18"/>
      <w:szCs w:val="18"/>
    </w:rPr>
  </w:style>
  <w:style w:type="character" w:styleId="a5">
    <w:name w:val="Hyperlink"/>
    <w:basedOn w:val="a0"/>
    <w:uiPriority w:val="99"/>
    <w:semiHidden/>
    <w:unhideWhenUsed/>
    <w:rsid w:val="00E96D9C"/>
    <w:rPr>
      <w:strike w:val="0"/>
      <w:dstrike w:val="0"/>
      <w:color w:val="787878"/>
      <w:u w:val="none"/>
      <w:effect w:val="none"/>
    </w:rPr>
  </w:style>
  <w:style w:type="character" w:customStyle="1" w:styleId="date2">
    <w:name w:val="date2"/>
    <w:basedOn w:val="a0"/>
    <w:rsid w:val="00E96D9C"/>
    <w:rPr>
      <w:rFonts w:ascii="宋体" w:eastAsia="宋体" w:hAnsi="宋体" w:hint="eastAsia"/>
      <w:color w:val="5A5A5A"/>
    </w:rPr>
  </w:style>
  <w:style w:type="character" w:customStyle="1" w:styleId="time2">
    <w:name w:val="time2"/>
    <w:basedOn w:val="a0"/>
    <w:rsid w:val="00E96D9C"/>
    <w:rPr>
      <w:rFonts w:ascii="宋体" w:eastAsia="宋体" w:hAnsi="宋体" w:hint="eastAsia"/>
    </w:rPr>
  </w:style>
  <w:style w:type="character" w:styleId="a6">
    <w:name w:val="Strong"/>
    <w:basedOn w:val="a0"/>
    <w:uiPriority w:val="22"/>
    <w:qFormat/>
    <w:rsid w:val="00E96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7345">
      <w:bodyDiv w:val="1"/>
      <w:marLeft w:val="0"/>
      <w:marRight w:val="0"/>
      <w:marTop w:val="0"/>
      <w:marBottom w:val="0"/>
      <w:divBdr>
        <w:top w:val="none" w:sz="0" w:space="0" w:color="auto"/>
        <w:left w:val="none" w:sz="0" w:space="0" w:color="auto"/>
        <w:bottom w:val="none" w:sz="0" w:space="0" w:color="auto"/>
        <w:right w:val="none" w:sz="0" w:space="0" w:color="auto"/>
      </w:divBdr>
      <w:divsChild>
        <w:div w:id="2035495803">
          <w:marLeft w:val="0"/>
          <w:marRight w:val="0"/>
          <w:marTop w:val="315"/>
          <w:marBottom w:val="0"/>
          <w:divBdr>
            <w:top w:val="none" w:sz="0" w:space="0" w:color="auto"/>
            <w:left w:val="none" w:sz="0" w:space="0" w:color="auto"/>
            <w:bottom w:val="none" w:sz="0" w:space="0" w:color="auto"/>
            <w:right w:val="none" w:sz="0" w:space="0" w:color="auto"/>
          </w:divBdr>
          <w:divsChild>
            <w:div w:id="897672285">
              <w:marLeft w:val="0"/>
              <w:marRight w:val="0"/>
              <w:marTop w:val="0"/>
              <w:marBottom w:val="0"/>
              <w:divBdr>
                <w:top w:val="none" w:sz="0" w:space="0" w:color="auto"/>
                <w:left w:val="none" w:sz="0" w:space="0" w:color="auto"/>
                <w:bottom w:val="none" w:sz="0" w:space="0" w:color="auto"/>
                <w:right w:val="none" w:sz="0" w:space="0" w:color="auto"/>
              </w:divBdr>
              <w:divsChild>
                <w:div w:id="1249465404">
                  <w:marLeft w:val="0"/>
                  <w:marRight w:val="0"/>
                  <w:marTop w:val="0"/>
                  <w:marBottom w:val="0"/>
                  <w:divBdr>
                    <w:top w:val="none" w:sz="0" w:space="0" w:color="auto"/>
                    <w:left w:val="none" w:sz="0" w:space="0" w:color="auto"/>
                    <w:bottom w:val="none" w:sz="0" w:space="0" w:color="auto"/>
                    <w:right w:val="single" w:sz="6" w:space="0" w:color="E5E5E5"/>
                  </w:divBdr>
                  <w:divsChild>
                    <w:div w:id="1715423655">
                      <w:marLeft w:val="0"/>
                      <w:marRight w:val="0"/>
                      <w:marTop w:val="0"/>
                      <w:marBottom w:val="0"/>
                      <w:divBdr>
                        <w:top w:val="none" w:sz="0" w:space="0" w:color="auto"/>
                        <w:left w:val="none" w:sz="0" w:space="0" w:color="auto"/>
                        <w:bottom w:val="dotted" w:sz="6" w:space="0" w:color="B4B4B4"/>
                        <w:right w:val="none" w:sz="0" w:space="0" w:color="auto"/>
                      </w:divBdr>
                      <w:divsChild>
                        <w:div w:id="277571704">
                          <w:marLeft w:val="0"/>
                          <w:marRight w:val="0"/>
                          <w:marTop w:val="0"/>
                          <w:marBottom w:val="0"/>
                          <w:divBdr>
                            <w:top w:val="none" w:sz="0" w:space="0" w:color="auto"/>
                            <w:left w:val="none" w:sz="0" w:space="0" w:color="auto"/>
                            <w:bottom w:val="none" w:sz="0" w:space="0" w:color="auto"/>
                            <w:right w:val="none" w:sz="0" w:space="0" w:color="auto"/>
                          </w:divBdr>
                          <w:divsChild>
                            <w:div w:id="14082661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0175192">
                      <w:marLeft w:val="0"/>
                      <w:marRight w:val="0"/>
                      <w:marTop w:val="0"/>
                      <w:marBottom w:val="0"/>
                      <w:divBdr>
                        <w:top w:val="none" w:sz="0" w:space="0" w:color="auto"/>
                        <w:left w:val="none" w:sz="0" w:space="0" w:color="auto"/>
                        <w:bottom w:val="none" w:sz="0" w:space="0" w:color="auto"/>
                        <w:right w:val="none" w:sz="0" w:space="0" w:color="auto"/>
                      </w:divBdr>
                      <w:divsChild>
                        <w:div w:id="1214390488">
                          <w:marLeft w:val="0"/>
                          <w:marRight w:val="0"/>
                          <w:marTop w:val="0"/>
                          <w:marBottom w:val="0"/>
                          <w:divBdr>
                            <w:top w:val="none" w:sz="0" w:space="0" w:color="auto"/>
                            <w:left w:val="none" w:sz="0" w:space="0" w:color="auto"/>
                            <w:bottom w:val="none" w:sz="0" w:space="0" w:color="auto"/>
                            <w:right w:val="none" w:sz="0" w:space="0" w:color="auto"/>
                          </w:divBdr>
                          <w:divsChild>
                            <w:div w:id="52359887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c.com.cn/cnpc/gonggao/201605/484db9b71bf8465d8c53a3e131dd911f/files/33d60280b0594070b1fe0a777fe5f22e.doc" TargetMode="External"/><Relationship Id="rId3" Type="http://schemas.openxmlformats.org/officeDocument/2006/relationships/settings" Target="settings.xml"/><Relationship Id="rId7" Type="http://schemas.openxmlformats.org/officeDocument/2006/relationships/hyperlink" Target="http://www.cnpc.com.cn/cnpc/gonggao/201605/484db9b71bf8465d8c53a3e131dd911f/files/2049891ca3994e318416631963d7f4a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pc.com.cn/cnpc/gonggao/201605/484db9b71bf8465d8c53a3e131dd911f/files/4bbdb3e5271c41ffa6205bd2dee7932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kjc-wangjx</dc:creator>
  <cp:keywords/>
  <dc:description/>
  <cp:lastModifiedBy>kjc-wangjx</cp:lastModifiedBy>
  <cp:revision>2</cp:revision>
  <dcterms:created xsi:type="dcterms:W3CDTF">2016-05-12T07:30:00Z</dcterms:created>
  <dcterms:modified xsi:type="dcterms:W3CDTF">2016-05-12T07:30:00Z</dcterms:modified>
</cp:coreProperties>
</file>