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BAF" w:rsidRPr="004D7BAF" w:rsidRDefault="004D7BAF" w:rsidP="004D7BAF">
      <w:pPr>
        <w:widowControl/>
        <w:spacing w:line="450" w:lineRule="atLeast"/>
        <w:jc w:val="center"/>
        <w:rPr>
          <w:rFonts w:ascii="宋体" w:hAnsi="宋体" w:cs="宋体"/>
          <w:b/>
          <w:bCs/>
          <w:color w:val="D30101"/>
          <w:kern w:val="0"/>
          <w:sz w:val="30"/>
          <w:szCs w:val="30"/>
        </w:rPr>
      </w:pPr>
      <w:bookmarkStart w:id="0" w:name="_GoBack"/>
      <w:r w:rsidRPr="004D7BAF">
        <w:rPr>
          <w:rFonts w:ascii="宋体" w:hAnsi="宋体" w:cs="宋体" w:hint="eastAsia"/>
          <w:b/>
          <w:bCs/>
          <w:color w:val="D30101"/>
          <w:kern w:val="0"/>
          <w:sz w:val="30"/>
          <w:szCs w:val="30"/>
        </w:rPr>
        <w:t>科技部关于发布国家重点研发计划变革性技术关键科学问题重点专项2017年度项目申报指南的通知</w:t>
      </w:r>
    </w:p>
    <w:bookmarkEnd w:id="0"/>
    <w:p w:rsidR="004D7BAF" w:rsidRPr="004D7BAF" w:rsidRDefault="004D7BAF" w:rsidP="004D7BAF">
      <w:pPr>
        <w:widowControl/>
        <w:spacing w:before="100" w:beforeAutospacing="1" w:after="100" w:afterAutospacing="1" w:line="450" w:lineRule="atLeast"/>
        <w:jc w:val="center"/>
        <w:rPr>
          <w:rFonts w:ascii="宋体" w:hAnsi="宋体" w:cs="宋体" w:hint="eastAsia"/>
          <w:color w:val="333333"/>
          <w:kern w:val="0"/>
          <w:sz w:val="24"/>
        </w:rPr>
      </w:pPr>
      <w:r w:rsidRPr="004D7BAF">
        <w:rPr>
          <w:rFonts w:ascii="宋体" w:hAnsi="宋体" w:cs="宋体" w:hint="eastAsia"/>
          <w:color w:val="333333"/>
          <w:kern w:val="0"/>
          <w:sz w:val="24"/>
        </w:rPr>
        <w:t>国科发资〔2017〕296号</w:t>
      </w:r>
    </w:p>
    <w:p w:rsidR="004D7BAF" w:rsidRPr="004D7BAF" w:rsidRDefault="004D7BAF" w:rsidP="00EB31BE">
      <w:pPr>
        <w:widowControl/>
        <w:spacing w:before="100" w:beforeAutospacing="1" w:after="100" w:afterAutospacing="1" w:line="450" w:lineRule="atLeast"/>
        <w:jc w:val="left"/>
        <w:rPr>
          <w:rFonts w:ascii="宋体" w:hAnsi="宋体" w:cs="宋体" w:hint="eastAsia"/>
          <w:color w:val="333333"/>
          <w:kern w:val="0"/>
          <w:sz w:val="24"/>
        </w:rPr>
      </w:pPr>
      <w:r w:rsidRPr="004D7BAF">
        <w:rPr>
          <w:rFonts w:ascii="宋体" w:hAnsi="宋体" w:cs="宋体" w:hint="eastAsia"/>
          <w:color w:val="333333"/>
          <w:kern w:val="0"/>
          <w:sz w:val="24"/>
        </w:rPr>
        <w:t>各省、自治区、直辖市及计划单列市科技厅（委、局），新疆生产建设兵团科技局，国务院各有关部门科技主管司局，各有关单位：</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根据国务院印发的《关于深化中央财政科技计划（专项、基金等）管理改革的方案》（国发〔2014〕64号）的总体部署，按照国家重点研发计划组织管理的相关要求，现将“变革性技术关键科学问题”重点专项2017年度项目申报指南予以公布。请根据指南要求组织项目申报工作。有关事项通知如下。</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一、项目组织申报要求及评审流程</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2. 项目的组织实施应整合集成全国相关领域的优势创新团队，聚焦研发问题，强化基础研究、共性关键技术研发和典型应用示范各项任务间的统筹衔接，集中力量，联合攻关。</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3. 国家重点研发计划项目申报评审采取填写预申报书、正式申报书两步进行，具体工作流程如下：</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30天。</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lastRenderedPageBreak/>
        <w:t>——各推荐单位加强对所推荐的项目申报材料审核把关，按时将推荐项目通过国家科技管理信息系统统一报送。</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——申报单位在接到专业机构关于进入答辩评审的通知后，通过国家科技管理信息系统填写并提交项目正式申报书。正式申报书受理时间为30天。</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二、组织申报的推荐单位</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1. 国务院有关部门科技主管司局；</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2. 各省、自治区、直辖市、计划单列市及新疆生产建设兵团科技主管部门；</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3. 原工业部门转制成立的行业协会；</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4. 纳入科技部试点范围并评估结果为A类的产业技术创新战略联盟，以及纳入科技部、财政部开展的科技服务业创新发展行业试点联盟。</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lastRenderedPageBreak/>
        <w:t>三、申请资格要求</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1. 牵头申报单位和参与单位应为中国大陆境内注册的科研院所、高等学校和企业等，具有独立法人资格，注册时间为2016年6月30日前，有较强的科技研发能力和条件，运行管理规范。政府机关不得牵头或参与申报。申报单位同一个项目只能通过单个推荐单位申报，不得多头申报和重复申报。</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2. 项目（课题）负责人须具有高级职称或博士学位，1957年1月1日以后出生，每年用于项目的工作时间不得少于6个月。</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3. 项目（课题）负责人原则上应为该项目（课题）主体研究思路的提出者和实际主持研究的科技人员。中央和地方各级政府的公务人员（包括行使科技计划管理职能的其他人员）不得申报项目（课题）。</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和课题）。</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计划任务书执行期（包括延期后的执行期）到2017年12月31日之前的在研项目（含任务或课题）不在限项范围内。</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5. 特邀咨评委委员不能申报项目（课题）；参与重点专项实施方案或本年度项目指南编制的专家，不能申报该重点专项项目（课题）。</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lastRenderedPageBreak/>
        <w:t>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7. 申报项目受理后，原则上不能更改申报单位和负责人。</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8. 项目的具体申报要求，详见各重点专项的申报指南。</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各申报单位在正式提交项目申报书前可利用国家科技管理信息系统公共服务平台查询相关科研人员承担改革前计划和国家科技重大专项、国家重点研发计划重点专项在研项目情况，避免重复申报。</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四、具体申报方式</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项目申报单位网上填报预申报书的受理时间为：2017年10月12日8:00至11月13日17:00。进入答辩评审环节的申报项目，由申报单位按要求填报正式申报书，并通过国家科技管理信息系统提交，具体时间和有关要求另行通知。</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国家科技管理信息系统公共服务平台：http：//service.most.gov.cn；</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技术咨询电话：010-88659000（中继线）；</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技术咨询邮箱：program@most.cn。</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2. 组织推荐。请各推荐单位于2017年11月18日前（以寄出时间为准），将加盖推荐单位公章的推荐函（纸质，一式2份）、推荐项目清单（纸</w:t>
      </w:r>
      <w:r w:rsidRPr="004D7BAF">
        <w:rPr>
          <w:rFonts w:ascii="宋体" w:hAnsi="宋体" w:cs="宋体" w:hint="eastAsia"/>
          <w:color w:val="333333"/>
          <w:kern w:val="0"/>
          <w:sz w:val="24"/>
        </w:rPr>
        <w:lastRenderedPageBreak/>
        <w:t>质，一式2份）寄送科技部信息中心。推荐项目清单须通过系统直接生成打印。</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寄送地址：北京市海淀区木樨地茂林居18号写字楼，科技部信息中心协调处，邮编：100038。</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联系电话：010-88654074。</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3. 材料报送和业务咨询。请各申报单位于2017年11月18日前（以寄出时间为准），将加盖申报单位公章的预申报书（纸质，一式2份），寄送至科学技术部高技术研究发展中心。项目预申报书须通过系统直接生成打印。</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咨询电话及寄送地址如下：</w:t>
      </w:r>
    </w:p>
    <w:p w:rsidR="00EB31BE"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咨询电话：010-68104460</w:t>
      </w:r>
    </w:p>
    <w:p w:rsidR="004D7BAF" w:rsidRPr="004D7BAF"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寄送地址：北京市三里河路一号9号楼，科学技术部高技术研究发展中心，邮编：100044。</w:t>
      </w:r>
    </w:p>
    <w:p w:rsidR="004D7BAF" w:rsidRPr="004D7BAF" w:rsidRDefault="004D7BAF" w:rsidP="00EB31BE">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4D7BAF">
        <w:rPr>
          <w:rFonts w:ascii="宋体" w:hAnsi="宋体" w:cs="宋体" w:hint="eastAsia"/>
          <w:color w:val="333333"/>
          <w:kern w:val="0"/>
          <w:sz w:val="24"/>
        </w:rPr>
        <w:t>附件</w:t>
      </w:r>
      <w:hyperlink r:id="rId6" w:tgtFrame="_self" w:history="1">
        <w:r w:rsidRPr="004D7BAF">
          <w:rPr>
            <w:rFonts w:ascii="宋体" w:hAnsi="宋体" w:cs="宋体" w:hint="eastAsia"/>
            <w:color w:val="000099"/>
            <w:kern w:val="0"/>
            <w:sz w:val="24"/>
            <w:u w:val="single"/>
          </w:rPr>
          <w:t>：“变革性技术关键科学问题”重点专项2017年度项目申报指南</w:t>
        </w:r>
      </w:hyperlink>
      <w:r w:rsidRPr="004D7BAF">
        <w:rPr>
          <w:rFonts w:ascii="宋体" w:hAnsi="宋体" w:cs="宋体" w:hint="eastAsia"/>
          <w:color w:val="333333"/>
          <w:kern w:val="0"/>
          <w:sz w:val="24"/>
        </w:rPr>
        <w:t>（</w:t>
      </w:r>
      <w:hyperlink r:id="rId7" w:tgtFrame="_self" w:history="1">
        <w:r w:rsidRPr="004D7BAF">
          <w:rPr>
            <w:rFonts w:ascii="宋体" w:hAnsi="宋体" w:cs="宋体" w:hint="eastAsia"/>
            <w:color w:val="000099"/>
            <w:kern w:val="0"/>
            <w:sz w:val="24"/>
            <w:u w:val="single"/>
          </w:rPr>
          <w:t>指南编制专家名单</w:t>
        </w:r>
      </w:hyperlink>
      <w:r w:rsidRPr="004D7BAF">
        <w:rPr>
          <w:rFonts w:ascii="宋体" w:hAnsi="宋体" w:cs="宋体" w:hint="eastAsia"/>
          <w:color w:val="333333"/>
          <w:kern w:val="0"/>
          <w:sz w:val="24"/>
        </w:rPr>
        <w:t>、</w:t>
      </w:r>
      <w:hyperlink r:id="rId8" w:tgtFrame="_self" w:history="1">
        <w:r w:rsidRPr="004D7BAF">
          <w:rPr>
            <w:rFonts w:ascii="宋体" w:hAnsi="宋体" w:cs="宋体" w:hint="eastAsia"/>
            <w:color w:val="000099"/>
            <w:kern w:val="0"/>
            <w:sz w:val="24"/>
            <w:u w:val="single"/>
          </w:rPr>
          <w:t>形式审查条件要求</w:t>
        </w:r>
      </w:hyperlink>
      <w:r w:rsidRPr="004D7BAF">
        <w:rPr>
          <w:rFonts w:ascii="宋体" w:hAnsi="宋体" w:cs="宋体" w:hint="eastAsia"/>
          <w:color w:val="333333"/>
          <w:kern w:val="0"/>
          <w:sz w:val="24"/>
        </w:rPr>
        <w:t>）</w:t>
      </w:r>
    </w:p>
    <w:p w:rsidR="00EB31BE" w:rsidRDefault="00EB31BE" w:rsidP="00EB31BE">
      <w:pPr>
        <w:widowControl/>
        <w:spacing w:before="100" w:beforeAutospacing="1" w:after="100" w:afterAutospacing="1" w:line="450" w:lineRule="atLeast"/>
        <w:rPr>
          <w:rFonts w:ascii="宋体" w:hAnsi="宋体" w:cs="宋体" w:hint="eastAsia"/>
          <w:color w:val="333333"/>
          <w:kern w:val="0"/>
          <w:sz w:val="24"/>
        </w:rPr>
      </w:pPr>
    </w:p>
    <w:p w:rsidR="004D7BAF" w:rsidRDefault="004D7BAF" w:rsidP="00EB0728">
      <w:pPr>
        <w:widowControl/>
        <w:spacing w:before="100" w:beforeAutospacing="1" w:after="100" w:afterAutospacing="1" w:line="450" w:lineRule="atLeast"/>
        <w:jc w:val="right"/>
        <w:rPr>
          <w:rFonts w:ascii="宋体" w:hAnsi="宋体" w:cs="宋体"/>
          <w:color w:val="333333"/>
          <w:kern w:val="0"/>
          <w:sz w:val="24"/>
        </w:rPr>
      </w:pPr>
      <w:r w:rsidRPr="004D7BAF">
        <w:rPr>
          <w:rFonts w:ascii="宋体" w:hAnsi="宋体" w:cs="宋体" w:hint="eastAsia"/>
          <w:color w:val="333333"/>
          <w:kern w:val="0"/>
          <w:sz w:val="24"/>
        </w:rPr>
        <w:t>                                                                     科 技 部</w:t>
      </w:r>
      <w:r w:rsidR="00EB0728">
        <w:rPr>
          <w:rFonts w:ascii="宋体" w:hAnsi="宋体" w:cs="宋体" w:hint="eastAsia"/>
          <w:color w:val="333333"/>
          <w:kern w:val="0"/>
          <w:sz w:val="24"/>
        </w:rPr>
        <w:t xml:space="preserve"> </w:t>
      </w:r>
    </w:p>
    <w:p w:rsidR="004D7BAF" w:rsidRDefault="004D7BAF" w:rsidP="00EB0728">
      <w:pPr>
        <w:widowControl/>
        <w:spacing w:before="100" w:beforeAutospacing="1" w:after="100" w:afterAutospacing="1" w:line="450" w:lineRule="atLeast"/>
        <w:jc w:val="right"/>
        <w:rPr>
          <w:rFonts w:ascii="宋体" w:hAnsi="宋体" w:cs="宋体"/>
          <w:color w:val="333333"/>
          <w:kern w:val="0"/>
          <w:sz w:val="24"/>
        </w:rPr>
      </w:pPr>
      <w:r w:rsidRPr="004D7BAF">
        <w:rPr>
          <w:rFonts w:ascii="宋体" w:hAnsi="宋体" w:cs="宋体" w:hint="eastAsia"/>
          <w:color w:val="333333"/>
          <w:kern w:val="0"/>
          <w:sz w:val="24"/>
        </w:rPr>
        <w:t>2017年9月27日 签发</w:t>
      </w:r>
    </w:p>
    <w:p w:rsidR="004D7BAF" w:rsidRPr="004D7BAF" w:rsidRDefault="004D7BAF" w:rsidP="00EB0728">
      <w:pPr>
        <w:widowControl/>
        <w:spacing w:before="100" w:beforeAutospacing="1" w:after="100" w:afterAutospacing="1" w:line="450" w:lineRule="atLeast"/>
        <w:jc w:val="right"/>
        <w:rPr>
          <w:rFonts w:ascii="宋体" w:hAnsi="宋体" w:cs="宋体" w:hint="eastAsia"/>
          <w:color w:val="333333"/>
          <w:kern w:val="0"/>
          <w:sz w:val="24"/>
        </w:rPr>
      </w:pPr>
      <w:r w:rsidRPr="004D7BAF">
        <w:rPr>
          <w:rFonts w:ascii="宋体" w:hAnsi="宋体" w:cs="宋体" w:hint="eastAsia"/>
          <w:color w:val="333333"/>
          <w:kern w:val="0"/>
          <w:sz w:val="24"/>
        </w:rPr>
        <w:t>2017年10月9日 发布</w:t>
      </w:r>
    </w:p>
    <w:p w:rsidR="00163B38" w:rsidRPr="004D7BAF" w:rsidRDefault="00163B38" w:rsidP="00EB31BE"/>
    <w:sectPr w:rsidR="00163B38" w:rsidRPr="004D7B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6E" w:rsidRDefault="008C686E" w:rsidP="004D7BAF">
      <w:r>
        <w:separator/>
      </w:r>
    </w:p>
  </w:endnote>
  <w:endnote w:type="continuationSeparator" w:id="0">
    <w:p w:rsidR="008C686E" w:rsidRDefault="008C686E" w:rsidP="004D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6E" w:rsidRDefault="008C686E" w:rsidP="004D7BAF">
      <w:r>
        <w:separator/>
      </w:r>
    </w:p>
  </w:footnote>
  <w:footnote w:type="continuationSeparator" w:id="0">
    <w:p w:rsidR="008C686E" w:rsidRDefault="008C686E" w:rsidP="004D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52"/>
    <w:rsid w:val="00163B38"/>
    <w:rsid w:val="004D7BAF"/>
    <w:rsid w:val="008C686E"/>
    <w:rsid w:val="00D50ADB"/>
    <w:rsid w:val="00E17952"/>
    <w:rsid w:val="00EB0728"/>
    <w:rsid w:val="00EB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AC2DA"/>
  <w15:chartTrackingRefBased/>
  <w15:docId w15:val="{A4BAAB67-81F5-4CDF-87FD-C2821EB9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7B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D7BAF"/>
    <w:rPr>
      <w:kern w:val="2"/>
      <w:sz w:val="18"/>
      <w:szCs w:val="18"/>
    </w:rPr>
  </w:style>
  <w:style w:type="paragraph" w:styleId="a5">
    <w:name w:val="footer"/>
    <w:basedOn w:val="a"/>
    <w:link w:val="a6"/>
    <w:rsid w:val="004D7BAF"/>
    <w:pPr>
      <w:tabs>
        <w:tab w:val="center" w:pos="4153"/>
        <w:tab w:val="right" w:pos="8306"/>
      </w:tabs>
      <w:snapToGrid w:val="0"/>
      <w:jc w:val="left"/>
    </w:pPr>
    <w:rPr>
      <w:sz w:val="18"/>
      <w:szCs w:val="18"/>
    </w:rPr>
  </w:style>
  <w:style w:type="character" w:customStyle="1" w:styleId="a6">
    <w:name w:val="页脚 字符"/>
    <w:basedOn w:val="a0"/>
    <w:link w:val="a5"/>
    <w:rsid w:val="004D7BAF"/>
    <w:rPr>
      <w:kern w:val="2"/>
      <w:sz w:val="18"/>
      <w:szCs w:val="18"/>
    </w:rPr>
  </w:style>
  <w:style w:type="paragraph" w:styleId="a7">
    <w:name w:val="Normal (Web)"/>
    <w:basedOn w:val="a"/>
    <w:uiPriority w:val="99"/>
    <w:unhideWhenUsed/>
    <w:rsid w:val="004D7BA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gov.cn/mostinfo/xinxifenlei/fgzc/gfxwj/gfxwj2017/201710/W020171009588022658029.doc" TargetMode="External"/><Relationship Id="rId3" Type="http://schemas.openxmlformats.org/officeDocument/2006/relationships/webSettings" Target="webSettings.xml"/><Relationship Id="rId7" Type="http://schemas.openxmlformats.org/officeDocument/2006/relationships/hyperlink" Target="http://most.gov.cn/mostinfo/xinxifenlei/fgzc/gfxwj/gfxwj2017/201710/W02017100958802218634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gov.cn/mostinfo/xinxifenlei/fgzc/gfxwj/gfxwj2017/201710/W020171009588021712017.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2017-10-10T07:13:00Z</dcterms:created>
  <dcterms:modified xsi:type="dcterms:W3CDTF">2017-10-10T07:35:00Z</dcterms:modified>
</cp:coreProperties>
</file>