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FE4" w:rsidRPr="00556FE4" w:rsidRDefault="00556FE4" w:rsidP="00556FE4">
      <w:pPr>
        <w:shd w:val="clear" w:color="auto" w:fill="FFFFFF"/>
        <w:adjustRightInd/>
        <w:snapToGrid/>
        <w:spacing w:line="480" w:lineRule="auto"/>
        <w:jc w:val="center"/>
        <w:outlineLvl w:val="1"/>
        <w:rPr>
          <w:rFonts w:ascii="微软雅黑" w:eastAsia="微软雅黑" w:hAnsi="微软雅黑" w:cs="宋体" w:hint="eastAsia"/>
          <w:b/>
          <w:bCs/>
          <w:kern w:val="36"/>
          <w:sz w:val="30"/>
          <w:szCs w:val="30"/>
        </w:rPr>
      </w:pPr>
      <w:r w:rsidRPr="00556FE4">
        <w:rPr>
          <w:rFonts w:ascii="微软雅黑" w:eastAsia="微软雅黑" w:hAnsi="微软雅黑" w:cs="宋体" w:hint="eastAsia"/>
          <w:b/>
          <w:bCs/>
          <w:kern w:val="36"/>
          <w:sz w:val="30"/>
          <w:szCs w:val="30"/>
        </w:rPr>
        <w:t>2018年度中日韩前瞻计划项目指南</w:t>
      </w:r>
    </w:p>
    <w:p w:rsidR="00556FE4" w:rsidRPr="00556FE4" w:rsidRDefault="00556FE4" w:rsidP="00556FE4">
      <w:pPr>
        <w:shd w:val="clear" w:color="auto" w:fill="FFFFFF"/>
        <w:adjustRightInd/>
        <w:snapToGrid/>
        <w:spacing w:line="360" w:lineRule="atLeast"/>
        <w:jc w:val="center"/>
        <w:rPr>
          <w:rFonts w:ascii="宋体" w:eastAsia="宋体" w:hAnsi="宋体" w:cs="宋体" w:hint="eastAsia"/>
          <w:sz w:val="18"/>
          <w:szCs w:val="18"/>
        </w:rPr>
      </w:pPr>
      <w:r w:rsidRPr="00556FE4">
        <w:rPr>
          <w:rFonts w:ascii="宋体" w:eastAsia="宋体" w:hAnsi="宋体" w:cs="宋体" w:hint="eastAsia"/>
          <w:sz w:val="18"/>
          <w:szCs w:val="18"/>
        </w:rPr>
        <w:t>日期 2017-11-10　  来源：国际合作局</w:t>
      </w:r>
    </w:p>
    <w:tbl>
      <w:tblPr>
        <w:tblW w:w="5000" w:type="pct"/>
        <w:tblCellSpacing w:w="0" w:type="dxa"/>
        <w:tblCellMar>
          <w:left w:w="0" w:type="dxa"/>
          <w:right w:w="0" w:type="dxa"/>
        </w:tblCellMar>
        <w:tblLook w:val="04A0" w:firstRow="1" w:lastRow="0" w:firstColumn="1" w:lastColumn="0" w:noHBand="0" w:noVBand="1"/>
      </w:tblPr>
      <w:tblGrid>
        <w:gridCol w:w="8306"/>
      </w:tblGrid>
      <w:tr w:rsidR="00556FE4" w:rsidRPr="00556FE4" w:rsidTr="00556FE4">
        <w:trPr>
          <w:trHeight w:val="150"/>
          <w:tblCellSpacing w:w="0" w:type="dxa"/>
        </w:trPr>
        <w:tc>
          <w:tcPr>
            <w:tcW w:w="0" w:type="auto"/>
            <w:vAlign w:val="center"/>
            <w:hideMark/>
          </w:tcPr>
          <w:p w:rsidR="00556FE4" w:rsidRPr="00556FE4" w:rsidRDefault="00556FE4" w:rsidP="00556FE4">
            <w:pPr>
              <w:adjustRightInd/>
              <w:snapToGrid/>
              <w:spacing w:line="360" w:lineRule="atLeast"/>
              <w:jc w:val="both"/>
              <w:rPr>
                <w:rFonts w:ascii="宋体" w:eastAsia="宋体" w:hAnsi="宋体" w:cs="宋体"/>
                <w:sz w:val="16"/>
                <w:szCs w:val="18"/>
              </w:rPr>
            </w:pPr>
          </w:p>
        </w:tc>
      </w:tr>
      <w:tr w:rsidR="00556FE4" w:rsidRPr="00556FE4" w:rsidTr="00556FE4">
        <w:trPr>
          <w:tblCellSpacing w:w="0" w:type="dxa"/>
        </w:trPr>
        <w:tc>
          <w:tcPr>
            <w:tcW w:w="0" w:type="auto"/>
            <w:vAlign w:val="center"/>
            <w:hideMark/>
          </w:tcPr>
          <w:p w:rsidR="00556FE4" w:rsidRPr="00556FE4" w:rsidRDefault="00556FE4" w:rsidP="00556FE4">
            <w:pPr>
              <w:adjustRightInd/>
              <w:snapToGrid/>
              <w:spacing w:line="360" w:lineRule="atLeast"/>
              <w:jc w:val="center"/>
              <w:rPr>
                <w:rFonts w:ascii="宋体" w:eastAsia="宋体" w:hAnsi="宋体" w:cs="宋体"/>
                <w:sz w:val="18"/>
                <w:szCs w:val="18"/>
              </w:rPr>
            </w:pPr>
          </w:p>
        </w:tc>
      </w:tr>
    </w:tbl>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24"/>
        </w:rPr>
      </w:pPr>
      <w:r w:rsidRPr="00556FE4">
        <w:rPr>
          <w:rFonts w:ascii="微软雅黑" w:eastAsia="微软雅黑" w:hAnsi="微软雅黑" w:cs="宋体" w:hint="eastAsia"/>
          <w:sz w:val="18"/>
          <w:szCs w:val="18"/>
        </w:rPr>
        <w:t xml:space="preserve">　　一、项目说明</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中日韩前瞻计划项目（Asia 3 Foresight Program，简称：A3前瞻计划）是国家自然科学基金委员会（NSFC）、日本学术振兴会（JSPS）和韩国国家研究基金会（NRF，原韩国科学与工程基金会KOSEF）共同设立的合作研究计划。A3前瞻计划的宗旨是联合资助中、日、韩三国科学家在选定的战略领域共同开展世界一流水平的合作研究，并通过计划的实施，培养杰出科技人才和共同解决区域问题，推动亚洲成为世界有影响的科学研究中心。</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二、2017年项目征集说明</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（一）资助领域及说明</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经过三方协商，A3前瞻计划2018年度的合作领域是</w:t>
      </w:r>
      <w:r w:rsidRPr="00556FE4">
        <w:rPr>
          <w:rFonts w:ascii="微软雅黑" w:eastAsia="微软雅黑" w:hAnsi="微软雅黑" w:cs="宋体" w:hint="eastAsia"/>
          <w:b/>
          <w:bCs/>
          <w:sz w:val="18"/>
          <w:szCs w:val="18"/>
        </w:rPr>
        <w:t>“新兴材料创新”（Emerging Materials Innovation），可包括以下几个方面：</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b/>
          <w:bCs/>
          <w:sz w:val="18"/>
          <w:szCs w:val="18"/>
        </w:rPr>
        <w:t xml:space="preserve">　　1.Graphene for device application（石墨烯的器件应用）</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b/>
          <w:bCs/>
          <w:sz w:val="18"/>
          <w:szCs w:val="18"/>
        </w:rPr>
        <w:t xml:space="preserve">　　2.Emerging 2D Materials (Non-graphene): synthesis, characterization and applications （新兴二维材料（非石墨烯）：合成，表征和应用）</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b/>
          <w:bCs/>
          <w:sz w:val="18"/>
          <w:szCs w:val="18"/>
        </w:rPr>
        <w:t xml:space="preserve">　　3.Semiconductor nanostructures and applications （半导体纳米结构及应用）4.    Novel composite materials and structures （新型复合材料与结构）</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b/>
          <w:bCs/>
          <w:sz w:val="18"/>
          <w:szCs w:val="18"/>
        </w:rPr>
        <w:t xml:space="preserve">　　申请代码：E02，未按要求填写指定申请代码的申请书将不予受理。</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（二）资助年限</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lastRenderedPageBreak/>
        <w:t xml:space="preserve">　　项目实施周期为5年，2018年批准立项的项目执行期为2018年8月1日-2023年7月31日。项目实施3年后，中日韩三方资助机构将进行中期评估。</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（三）资助经费及说明</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2018年的合作项目数为2个左右，NSFC对每项资助直接经费400万元左右。日韩方资助费用请参阅JSPS和NRF项目指南。</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三、申请条件</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根据《国家自然科学基金国际（地区）合作研究项目管理办法》，申请本项目须符合以下条件：</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（一）申请人应具有高级专业技术职务（职称）；</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（二）作为项目负责人，正在承担或承担过3年期以上科学基金项目；</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（三）中日韩三方科学家之间应当具有一定的合作基础，项目申请应充分体现强</w:t>
      </w:r>
      <w:proofErr w:type="gramStart"/>
      <w:r w:rsidRPr="00556FE4">
        <w:rPr>
          <w:rFonts w:ascii="微软雅黑" w:eastAsia="微软雅黑" w:hAnsi="微软雅黑" w:cs="宋体" w:hint="eastAsia"/>
          <w:sz w:val="18"/>
          <w:szCs w:val="18"/>
        </w:rPr>
        <w:t>强</w:t>
      </w:r>
      <w:proofErr w:type="gramEnd"/>
      <w:r w:rsidRPr="00556FE4">
        <w:rPr>
          <w:rFonts w:ascii="微软雅黑" w:eastAsia="微软雅黑" w:hAnsi="微软雅黑" w:cs="宋体" w:hint="eastAsia"/>
          <w:sz w:val="18"/>
          <w:szCs w:val="18"/>
        </w:rPr>
        <w:t>合作，优势互补。</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（四）更多关于申请资格的说明请见《2017年度国家自然科学基金项目指南》。</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四、限项规定</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国家自然科学基金国际（地区）合作研究项目包括组织间国际(地区)合作研究项目（以下简称组织间合作研究项目）和重点国际(地区)合作研究项目。“中日韩前瞻计划项目”属于组织间合作研究项目，申请人申请时须遵循以下限项规定：</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（一）申请人同年只能申请1项国际（地区）合作研究项目。</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（二）上年度获得国际（地区）合作研究项目资助的项目负责人，本年度不得作为申请人申请国际（地区）合作研究项目。</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lastRenderedPageBreak/>
        <w:t xml:space="preserve">　　（三）作为申请人申请本项目，计入具有高级专业技术职务（职称）人员申请（包括申请人和主要参与者）和正在承担（包括负责人和主要参与者）项目总数限3项的范围（参与承担或者参与申请的组织间合作研究项目除外）。</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五、申报要求</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为使申报工作顺利进行，请注意以下几个方面：</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（一）中方申请人须与日方和韩方合作者联合提出申请，各方科学家分别根据各国基金组织的要求，填写相应的申请书。</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二）申报路径：中方申请人须登录ISIS科学基金网络系统（http://isis.nsfc.gov.cn），在线填报《国家自然科学基金国际（地区）合作研究项目申请书》(以下简称“中文申请书”)。具体步骤是：选择“项目负责人”用户组登录系统，进入后点击“项目申请”进入申请界面；点击“新增项目申请”按钮进入项目类别选择界面；点击“国际（地区）合作与交流项目”</w:t>
      </w:r>
      <w:proofErr w:type="gramStart"/>
      <w:r w:rsidRPr="00556FE4">
        <w:rPr>
          <w:rFonts w:ascii="微软雅黑" w:eastAsia="微软雅黑" w:hAnsi="微软雅黑" w:cs="宋体" w:hint="eastAsia"/>
          <w:sz w:val="18"/>
          <w:szCs w:val="18"/>
        </w:rPr>
        <w:t>左侧+</w:t>
      </w:r>
      <w:proofErr w:type="gramEnd"/>
      <w:r w:rsidRPr="00556FE4">
        <w:rPr>
          <w:rFonts w:ascii="微软雅黑" w:eastAsia="微软雅黑" w:hAnsi="微软雅黑" w:cs="宋体" w:hint="eastAsia"/>
          <w:sz w:val="18"/>
          <w:szCs w:val="18"/>
        </w:rPr>
        <w:t>号或者右侧“展开”按钮，展开下拉菜单；点击 “合作研究（组织间协议项目）”右侧的“填写申请”，进入选择“合作协议”界面，在下拉菜单中选择“A3前瞻计划项目（中日韩）”，然后按系统要求输入要依托的基金项目批准号后即进入具体申请书填写界面。</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（三）中方申请人须与日方和韩方合作者共同填写本指南所附《英文申请书》（附件1），填写完毕后，上传添加至中文申请书的“附件”栏中一同提交。</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（四）三方申请人须就合作内容及知识产权等问题达成一致，并签署合作协议（协议范本见附件2），上传添加至中文申请书的“附件”栏中一同提交。</w:t>
      </w:r>
      <w:bookmarkStart w:id="0" w:name="_GoBack"/>
      <w:bookmarkEnd w:id="0"/>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（五）报送材料：中方申请人须将英文申请书和合作协议等材料上传添加至中文申请书的“附件”栏中与中文申请书一同提交，提交完成之后，打印一套系统自动生成的中文申请书（PDF文件）及附件。电</w:t>
      </w:r>
      <w:r w:rsidRPr="00556FE4">
        <w:rPr>
          <w:rFonts w:ascii="微软雅黑" w:eastAsia="微软雅黑" w:hAnsi="微软雅黑" w:cs="宋体" w:hint="eastAsia"/>
          <w:sz w:val="18"/>
          <w:szCs w:val="18"/>
        </w:rPr>
        <w:lastRenderedPageBreak/>
        <w:t>子版申请书及其附件须经依托单位科研处在征集截止时间之前登陆ISIS系统审核确认后提交。纸质申请书（含附件）经本人签字、依托单位签字盖章确认后，邮寄至国家自然科学基金委员会项目材料接收组（地址：北京市海淀区双清路83号101房间，邮编100085，电话：010-62328591），亚非与国际组织处不直接接收项目申请材料。</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（六）受理时间： ISIS系统在线申报接收期为2017年11月10日至2018年1月24日下午16时；纸质材料集中接收期为2018年1月17日至1月24日下午16时（节假日除外），纸质材料的邮寄以邮戳为准。</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六、项目联系人</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联系人：荣念赫 张永涛 </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电　话：010-62326998，62325449</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传　真：010-62327004</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Email: rongnh@nsfc.gov.cn</w:t>
      </w:r>
    </w:p>
    <w:p w:rsidR="00556FE4" w:rsidRPr="00556FE4" w:rsidRDefault="00556FE4" w:rsidP="00556FE4">
      <w:pPr>
        <w:shd w:val="clear" w:color="auto" w:fill="FFFFFF"/>
        <w:adjustRightInd/>
        <w:snapToGrid/>
        <w:spacing w:before="150" w:after="150" w:line="480" w:lineRule="auto"/>
        <w:jc w:val="right"/>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国际合作局</w:t>
      </w:r>
    </w:p>
    <w:p w:rsidR="00556FE4" w:rsidRPr="00556FE4" w:rsidRDefault="00556FE4" w:rsidP="00556FE4">
      <w:pPr>
        <w:shd w:val="clear" w:color="auto" w:fill="FFFFFF"/>
        <w:adjustRightInd/>
        <w:snapToGrid/>
        <w:spacing w:before="150" w:after="150" w:line="480" w:lineRule="auto"/>
        <w:jc w:val="right"/>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2017年11月10日</w:t>
      </w:r>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附件：</w:t>
      </w:r>
      <w:hyperlink r:id="rId7" w:tgtFrame="_blank" w:history="1">
        <w:r w:rsidRPr="00556FE4">
          <w:rPr>
            <w:rFonts w:ascii="微软雅黑" w:hAnsi="微软雅黑" w:cs="宋体"/>
            <w:color w:val="0070C0"/>
            <w:sz w:val="18"/>
            <w:szCs w:val="18"/>
            <w:u w:val="single"/>
          </w:rPr>
          <w:t>1、英文申请书</w:t>
        </w:r>
      </w:hyperlink>
    </w:p>
    <w:p w:rsidR="00556FE4" w:rsidRPr="00556FE4" w:rsidRDefault="00556FE4" w:rsidP="00556FE4">
      <w:pPr>
        <w:shd w:val="clear" w:color="auto" w:fill="FFFFFF"/>
        <w:adjustRightInd/>
        <w:snapToGrid/>
        <w:spacing w:before="150" w:after="150" w:line="480" w:lineRule="auto"/>
        <w:jc w:val="both"/>
        <w:rPr>
          <w:rFonts w:ascii="微软雅黑" w:eastAsia="微软雅黑" w:hAnsi="微软雅黑" w:cs="宋体" w:hint="eastAsia"/>
          <w:sz w:val="18"/>
          <w:szCs w:val="18"/>
        </w:rPr>
      </w:pPr>
      <w:r w:rsidRPr="00556FE4">
        <w:rPr>
          <w:rFonts w:ascii="微软雅黑" w:eastAsia="微软雅黑" w:hAnsi="微软雅黑" w:cs="宋体" w:hint="eastAsia"/>
          <w:sz w:val="18"/>
          <w:szCs w:val="18"/>
        </w:rPr>
        <w:t xml:space="preserve">　　　　　</w:t>
      </w:r>
      <w:hyperlink r:id="rId8" w:tgtFrame="_blank" w:history="1">
        <w:r w:rsidRPr="00556FE4">
          <w:rPr>
            <w:rFonts w:ascii="微软雅黑" w:hAnsi="微软雅黑" w:cs="宋体"/>
            <w:color w:val="0070C0"/>
            <w:sz w:val="18"/>
            <w:szCs w:val="18"/>
            <w:u w:val="single"/>
          </w:rPr>
          <w:t>2、合作协议</w:t>
        </w:r>
      </w:hyperlink>
    </w:p>
    <w:p w:rsidR="001426FF" w:rsidRDefault="001426FF"/>
    <w:sectPr w:rsidR="00142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4C6" w:rsidRDefault="00F204C6" w:rsidP="00556FE4">
      <w:pPr>
        <w:spacing w:line="240" w:lineRule="auto"/>
      </w:pPr>
      <w:r>
        <w:separator/>
      </w:r>
    </w:p>
  </w:endnote>
  <w:endnote w:type="continuationSeparator" w:id="0">
    <w:p w:rsidR="00F204C6" w:rsidRDefault="00F204C6" w:rsidP="00556F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4C6" w:rsidRDefault="00F204C6" w:rsidP="00556FE4">
      <w:pPr>
        <w:spacing w:line="240" w:lineRule="auto"/>
      </w:pPr>
      <w:r>
        <w:separator/>
      </w:r>
    </w:p>
  </w:footnote>
  <w:footnote w:type="continuationSeparator" w:id="0">
    <w:p w:rsidR="00F204C6" w:rsidRDefault="00F204C6" w:rsidP="00556FE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A4"/>
    <w:rsid w:val="001426FF"/>
    <w:rsid w:val="00556FE4"/>
    <w:rsid w:val="00997FA4"/>
    <w:rsid w:val="00DA072D"/>
    <w:rsid w:val="00F2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2D"/>
    <w:pPr>
      <w:adjustRightInd w:val="0"/>
      <w:snapToGrid w:val="0"/>
      <w:spacing w:line="300" w:lineRule="exact"/>
    </w:pPr>
    <w:rPr>
      <w:rFonts w:eastAsia="Times New Roman"/>
      <w:kern w:val="0"/>
      <w:sz w:val="28"/>
      <w:szCs w:val="24"/>
    </w:rPr>
  </w:style>
  <w:style w:type="paragraph" w:styleId="1">
    <w:name w:val="heading 1"/>
    <w:basedOn w:val="a"/>
    <w:next w:val="a"/>
    <w:link w:val="1Char"/>
    <w:autoRedefine/>
    <w:uiPriority w:val="9"/>
    <w:qFormat/>
    <w:rsid w:val="00DA072D"/>
    <w:pPr>
      <w:keepNext/>
      <w:keepLines/>
      <w:spacing w:beforeLines="50" w:before="50" w:line="480" w:lineRule="auto"/>
      <w:outlineLvl w:val="0"/>
    </w:pPr>
    <w:rPr>
      <w:rFonts w:ascii="Times New Roman" w:hAnsi="Times New Roman" w:cs="Times New Roman"/>
      <w:b/>
      <w:bCs/>
      <w:kern w:val="44"/>
      <w:sz w:val="32"/>
      <w:szCs w:val="44"/>
    </w:rPr>
  </w:style>
  <w:style w:type="paragraph" w:styleId="2">
    <w:name w:val="heading 2"/>
    <w:basedOn w:val="a"/>
    <w:next w:val="a"/>
    <w:link w:val="2Char"/>
    <w:autoRedefine/>
    <w:uiPriority w:val="9"/>
    <w:unhideWhenUsed/>
    <w:qFormat/>
    <w:rsid w:val="00DA072D"/>
    <w:pPr>
      <w:keepNext/>
      <w:keepLines/>
      <w:spacing w:beforeLines="50" w:before="50" w:line="360" w:lineRule="auto"/>
      <w:outlineLvl w:val="1"/>
    </w:pPr>
    <w:rPr>
      <w:rFonts w:ascii="Times New Roman" w:eastAsiaTheme="minorEastAsia" w:hAnsi="Times New Roman" w:cs="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072D"/>
    <w:rPr>
      <w:rFonts w:ascii="Times New Roman" w:eastAsia="Times New Roman" w:hAnsi="Times New Roman" w:cs="Times New Roman"/>
      <w:b/>
      <w:bCs/>
      <w:kern w:val="44"/>
      <w:sz w:val="32"/>
      <w:szCs w:val="44"/>
    </w:rPr>
  </w:style>
  <w:style w:type="character" w:customStyle="1" w:styleId="2Char">
    <w:name w:val="标题 2 Char"/>
    <w:basedOn w:val="a0"/>
    <w:link w:val="2"/>
    <w:uiPriority w:val="9"/>
    <w:rsid w:val="00DA072D"/>
    <w:rPr>
      <w:rFonts w:ascii="Times New Roman" w:hAnsi="Times New Roman" w:cs="Times New Roman"/>
      <w:b/>
      <w:bCs/>
      <w:sz w:val="30"/>
      <w:szCs w:val="32"/>
    </w:rPr>
  </w:style>
  <w:style w:type="paragraph" w:styleId="a3">
    <w:name w:val="header"/>
    <w:basedOn w:val="a"/>
    <w:link w:val="Char"/>
    <w:uiPriority w:val="99"/>
    <w:unhideWhenUsed/>
    <w:rsid w:val="00556FE4"/>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556FE4"/>
    <w:rPr>
      <w:rFonts w:eastAsia="Times New Roman"/>
      <w:kern w:val="0"/>
      <w:sz w:val="18"/>
      <w:szCs w:val="18"/>
    </w:rPr>
  </w:style>
  <w:style w:type="paragraph" w:styleId="a4">
    <w:name w:val="footer"/>
    <w:basedOn w:val="a"/>
    <w:link w:val="Char0"/>
    <w:uiPriority w:val="99"/>
    <w:unhideWhenUsed/>
    <w:rsid w:val="00556FE4"/>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556FE4"/>
    <w:rPr>
      <w:rFonts w:eastAsia="Times New Roman"/>
      <w:kern w:val="0"/>
      <w:sz w:val="18"/>
      <w:szCs w:val="18"/>
    </w:rPr>
  </w:style>
  <w:style w:type="character" w:styleId="a5">
    <w:name w:val="Hyperlink"/>
    <w:basedOn w:val="a0"/>
    <w:uiPriority w:val="99"/>
    <w:semiHidden/>
    <w:unhideWhenUsed/>
    <w:rsid w:val="00556FE4"/>
    <w:rPr>
      <w:rFonts w:ascii="微软雅黑" w:eastAsia="微软雅黑" w:hAnsi="微软雅黑" w:hint="eastAsia"/>
      <w:strike w:val="0"/>
      <w:dstrike w:val="0"/>
      <w:color w:val="333333"/>
      <w:u w:val="none"/>
      <w:effect w:val="none"/>
    </w:rPr>
  </w:style>
  <w:style w:type="character" w:customStyle="1" w:styleId="normal105">
    <w:name w:val="normal105"/>
    <w:basedOn w:val="a0"/>
    <w:rsid w:val="00556F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2D"/>
    <w:pPr>
      <w:adjustRightInd w:val="0"/>
      <w:snapToGrid w:val="0"/>
      <w:spacing w:line="300" w:lineRule="exact"/>
    </w:pPr>
    <w:rPr>
      <w:rFonts w:eastAsia="Times New Roman"/>
      <w:kern w:val="0"/>
      <w:sz w:val="28"/>
      <w:szCs w:val="24"/>
    </w:rPr>
  </w:style>
  <w:style w:type="paragraph" w:styleId="1">
    <w:name w:val="heading 1"/>
    <w:basedOn w:val="a"/>
    <w:next w:val="a"/>
    <w:link w:val="1Char"/>
    <w:autoRedefine/>
    <w:uiPriority w:val="9"/>
    <w:qFormat/>
    <w:rsid w:val="00DA072D"/>
    <w:pPr>
      <w:keepNext/>
      <w:keepLines/>
      <w:spacing w:beforeLines="50" w:before="50" w:line="480" w:lineRule="auto"/>
      <w:outlineLvl w:val="0"/>
    </w:pPr>
    <w:rPr>
      <w:rFonts w:ascii="Times New Roman" w:hAnsi="Times New Roman" w:cs="Times New Roman"/>
      <w:b/>
      <w:bCs/>
      <w:kern w:val="44"/>
      <w:sz w:val="32"/>
      <w:szCs w:val="44"/>
    </w:rPr>
  </w:style>
  <w:style w:type="paragraph" w:styleId="2">
    <w:name w:val="heading 2"/>
    <w:basedOn w:val="a"/>
    <w:next w:val="a"/>
    <w:link w:val="2Char"/>
    <w:autoRedefine/>
    <w:uiPriority w:val="9"/>
    <w:unhideWhenUsed/>
    <w:qFormat/>
    <w:rsid w:val="00DA072D"/>
    <w:pPr>
      <w:keepNext/>
      <w:keepLines/>
      <w:spacing w:beforeLines="50" w:before="50" w:line="360" w:lineRule="auto"/>
      <w:outlineLvl w:val="1"/>
    </w:pPr>
    <w:rPr>
      <w:rFonts w:ascii="Times New Roman" w:eastAsiaTheme="minorEastAsia" w:hAnsi="Times New Roman" w:cs="Times New Roman"/>
      <w:b/>
      <w:bCs/>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072D"/>
    <w:rPr>
      <w:rFonts w:ascii="Times New Roman" w:eastAsia="Times New Roman" w:hAnsi="Times New Roman" w:cs="Times New Roman"/>
      <w:b/>
      <w:bCs/>
      <w:kern w:val="44"/>
      <w:sz w:val="32"/>
      <w:szCs w:val="44"/>
    </w:rPr>
  </w:style>
  <w:style w:type="character" w:customStyle="1" w:styleId="2Char">
    <w:name w:val="标题 2 Char"/>
    <w:basedOn w:val="a0"/>
    <w:link w:val="2"/>
    <w:uiPriority w:val="9"/>
    <w:rsid w:val="00DA072D"/>
    <w:rPr>
      <w:rFonts w:ascii="Times New Roman" w:hAnsi="Times New Roman" w:cs="Times New Roman"/>
      <w:b/>
      <w:bCs/>
      <w:sz w:val="30"/>
      <w:szCs w:val="32"/>
    </w:rPr>
  </w:style>
  <w:style w:type="paragraph" w:styleId="a3">
    <w:name w:val="header"/>
    <w:basedOn w:val="a"/>
    <w:link w:val="Char"/>
    <w:uiPriority w:val="99"/>
    <w:unhideWhenUsed/>
    <w:rsid w:val="00556FE4"/>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rsid w:val="00556FE4"/>
    <w:rPr>
      <w:rFonts w:eastAsia="Times New Roman"/>
      <w:kern w:val="0"/>
      <w:sz w:val="18"/>
      <w:szCs w:val="18"/>
    </w:rPr>
  </w:style>
  <w:style w:type="paragraph" w:styleId="a4">
    <w:name w:val="footer"/>
    <w:basedOn w:val="a"/>
    <w:link w:val="Char0"/>
    <w:uiPriority w:val="99"/>
    <w:unhideWhenUsed/>
    <w:rsid w:val="00556FE4"/>
    <w:pPr>
      <w:tabs>
        <w:tab w:val="center" w:pos="4153"/>
        <w:tab w:val="right" w:pos="8306"/>
      </w:tabs>
      <w:spacing w:line="240" w:lineRule="atLeast"/>
    </w:pPr>
    <w:rPr>
      <w:sz w:val="18"/>
      <w:szCs w:val="18"/>
    </w:rPr>
  </w:style>
  <w:style w:type="character" w:customStyle="1" w:styleId="Char0">
    <w:name w:val="页脚 Char"/>
    <w:basedOn w:val="a0"/>
    <w:link w:val="a4"/>
    <w:uiPriority w:val="99"/>
    <w:rsid w:val="00556FE4"/>
    <w:rPr>
      <w:rFonts w:eastAsia="Times New Roman"/>
      <w:kern w:val="0"/>
      <w:sz w:val="18"/>
      <w:szCs w:val="18"/>
    </w:rPr>
  </w:style>
  <w:style w:type="character" w:styleId="a5">
    <w:name w:val="Hyperlink"/>
    <w:basedOn w:val="a0"/>
    <w:uiPriority w:val="99"/>
    <w:semiHidden/>
    <w:unhideWhenUsed/>
    <w:rsid w:val="00556FE4"/>
    <w:rPr>
      <w:rFonts w:ascii="微软雅黑" w:eastAsia="微软雅黑" w:hAnsi="微软雅黑" w:hint="eastAsia"/>
      <w:strike w:val="0"/>
      <w:dstrike w:val="0"/>
      <w:color w:val="333333"/>
      <w:u w:val="none"/>
      <w:effect w:val="none"/>
    </w:rPr>
  </w:style>
  <w:style w:type="character" w:customStyle="1" w:styleId="normal105">
    <w:name w:val="normal105"/>
    <w:basedOn w:val="a0"/>
    <w:rsid w:val="0055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1760">
      <w:bodyDiv w:val="1"/>
      <w:marLeft w:val="0"/>
      <w:marRight w:val="0"/>
      <w:marTop w:val="0"/>
      <w:marBottom w:val="0"/>
      <w:divBdr>
        <w:top w:val="none" w:sz="0" w:space="0" w:color="auto"/>
        <w:left w:val="none" w:sz="0" w:space="0" w:color="auto"/>
        <w:bottom w:val="none" w:sz="0" w:space="0" w:color="auto"/>
        <w:right w:val="none" w:sz="0" w:space="0" w:color="auto"/>
      </w:divBdr>
      <w:divsChild>
        <w:div w:id="1635524887">
          <w:marLeft w:val="0"/>
          <w:marRight w:val="0"/>
          <w:marTop w:val="0"/>
          <w:marBottom w:val="0"/>
          <w:divBdr>
            <w:top w:val="none" w:sz="0" w:space="0" w:color="auto"/>
            <w:left w:val="none" w:sz="0" w:space="0" w:color="auto"/>
            <w:bottom w:val="none" w:sz="0" w:space="0" w:color="auto"/>
            <w:right w:val="none" w:sz="0" w:space="0" w:color="auto"/>
          </w:divBdr>
          <w:divsChild>
            <w:div w:id="659388070">
              <w:marLeft w:val="0"/>
              <w:marRight w:val="0"/>
              <w:marTop w:val="0"/>
              <w:marBottom w:val="0"/>
              <w:divBdr>
                <w:top w:val="none" w:sz="0" w:space="0" w:color="auto"/>
                <w:left w:val="none" w:sz="0" w:space="0" w:color="auto"/>
                <w:bottom w:val="none" w:sz="0" w:space="0" w:color="auto"/>
                <w:right w:val="none" w:sz="0" w:space="0" w:color="auto"/>
              </w:divBdr>
              <w:divsChild>
                <w:div w:id="412898714">
                  <w:marLeft w:val="0"/>
                  <w:marRight w:val="0"/>
                  <w:marTop w:val="0"/>
                  <w:marBottom w:val="0"/>
                  <w:divBdr>
                    <w:top w:val="none" w:sz="0" w:space="0" w:color="auto"/>
                    <w:left w:val="none" w:sz="0" w:space="0" w:color="auto"/>
                    <w:bottom w:val="none" w:sz="0" w:space="0" w:color="auto"/>
                    <w:right w:val="none" w:sz="0" w:space="0" w:color="auto"/>
                  </w:divBdr>
                  <w:divsChild>
                    <w:div w:id="1090275257">
                      <w:marLeft w:val="0"/>
                      <w:marRight w:val="0"/>
                      <w:marTop w:val="0"/>
                      <w:marBottom w:val="0"/>
                      <w:divBdr>
                        <w:top w:val="none" w:sz="0" w:space="0" w:color="auto"/>
                        <w:left w:val="none" w:sz="0" w:space="0" w:color="auto"/>
                        <w:bottom w:val="none" w:sz="0" w:space="0" w:color="auto"/>
                        <w:right w:val="none" w:sz="0" w:space="0" w:color="auto"/>
                      </w:divBdr>
                      <w:divsChild>
                        <w:div w:id="821964950">
                          <w:marLeft w:val="0"/>
                          <w:marRight w:val="0"/>
                          <w:marTop w:val="0"/>
                          <w:marBottom w:val="0"/>
                          <w:divBdr>
                            <w:top w:val="none" w:sz="0" w:space="0" w:color="auto"/>
                            <w:left w:val="none" w:sz="0" w:space="0" w:color="auto"/>
                            <w:bottom w:val="none" w:sz="0" w:space="0" w:color="auto"/>
                            <w:right w:val="none" w:sz="0" w:space="0" w:color="auto"/>
                          </w:divBdr>
                          <w:divsChild>
                            <w:div w:id="516894415">
                              <w:marLeft w:val="0"/>
                              <w:marRight w:val="0"/>
                              <w:marTop w:val="0"/>
                              <w:marBottom w:val="0"/>
                              <w:divBdr>
                                <w:top w:val="none" w:sz="0" w:space="0" w:color="auto"/>
                                <w:left w:val="none" w:sz="0" w:space="0" w:color="auto"/>
                                <w:bottom w:val="none" w:sz="0" w:space="0" w:color="auto"/>
                                <w:right w:val="none" w:sz="0" w:space="0" w:color="auto"/>
                              </w:divBdr>
                            </w:div>
                            <w:div w:id="1124664225">
                              <w:marLeft w:val="0"/>
                              <w:marRight w:val="0"/>
                              <w:marTop w:val="0"/>
                              <w:marBottom w:val="0"/>
                              <w:divBdr>
                                <w:top w:val="none" w:sz="0" w:space="0" w:color="auto"/>
                                <w:left w:val="none" w:sz="0" w:space="0" w:color="auto"/>
                                <w:bottom w:val="none" w:sz="0" w:space="0" w:color="auto"/>
                                <w:right w:val="none" w:sz="0" w:space="0" w:color="auto"/>
                              </w:divBdr>
                            </w:div>
                            <w:div w:id="11678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71110_02.doc" TargetMode="External"/><Relationship Id="rId3" Type="http://schemas.openxmlformats.org/officeDocument/2006/relationships/settings" Target="settings.xml"/><Relationship Id="rId7" Type="http://schemas.openxmlformats.org/officeDocument/2006/relationships/hyperlink" Target="http://www.nsfc.gov.cn/Portals/0/fj/fj20171110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2017-11-14T08:43:00Z</dcterms:created>
  <dcterms:modified xsi:type="dcterms:W3CDTF">2017-11-14T08:43:00Z</dcterms:modified>
</cp:coreProperties>
</file>