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20" w:lineRule="exact"/>
        <w:jc w:val="left"/>
        <w:rPr>
          <w:rFonts w:hint="eastAsia" w:ascii="宋体" w:hAnsi="宋体" w:eastAsia="宋体"/>
          <w:b w:val="0"/>
          <w:color w:val="auto"/>
          <w:sz w:val="24"/>
          <w:szCs w:val="24"/>
          <w:lang w:eastAsia="zh-CN"/>
        </w:rPr>
      </w:pPr>
      <w:r>
        <w:rPr>
          <w:rFonts w:hint="eastAsia" w:ascii="宋体" w:hAnsi="宋体" w:eastAsia="宋体"/>
          <w:b w:val="0"/>
          <w:color w:val="auto"/>
          <w:sz w:val="24"/>
          <w:szCs w:val="24"/>
        </w:rPr>
        <w:t>附件</w:t>
      </w:r>
      <w:r>
        <w:rPr>
          <w:rFonts w:hint="eastAsia" w:ascii="宋体" w:hAnsi="宋体" w:eastAsia="宋体"/>
          <w:b w:val="0"/>
          <w:color w:val="auto"/>
          <w:sz w:val="24"/>
          <w:szCs w:val="24"/>
          <w:lang w:val="en-US" w:eastAsia="zh-CN"/>
        </w:rPr>
        <w:t>2</w:t>
      </w:r>
      <w:bookmarkStart w:id="0" w:name="_GoBack"/>
      <w:bookmarkEnd w:id="0"/>
    </w:p>
    <w:p>
      <w:pPr>
        <w:pStyle w:val="2"/>
        <w:spacing w:beforeLines="50" w:afterLines="50" w:line="420" w:lineRule="exact"/>
        <w:rPr>
          <w:rFonts w:ascii="宋体" w:hAnsi="宋体" w:eastAsia="宋体"/>
          <w:color w:val="auto"/>
          <w:szCs w:val="32"/>
        </w:rPr>
      </w:pPr>
    </w:p>
    <w:p>
      <w:pPr>
        <w:pStyle w:val="2"/>
        <w:spacing w:before="0" w:afterLines="50" w:line="420" w:lineRule="exact"/>
        <w:rPr>
          <w:rFonts w:ascii="宋体" w:hAnsi="宋体" w:eastAsia="宋体"/>
          <w:color w:val="auto"/>
          <w:szCs w:val="32"/>
        </w:rPr>
      </w:pPr>
      <w:r>
        <w:rPr>
          <w:rFonts w:hint="eastAsia" w:ascii="宋体" w:hAnsi="宋体" w:eastAsia="宋体"/>
          <w:color w:val="auto"/>
          <w:szCs w:val="32"/>
        </w:rPr>
        <w:t xml:space="preserve">中国高校产学研创新基金-异构智能计算项目申请指南 </w:t>
      </w:r>
    </w:p>
    <w:p>
      <w:pPr>
        <w:spacing w:before="0" w:after="0" w:line="440" w:lineRule="exact"/>
        <w:ind w:firstLine="480"/>
        <w:rPr>
          <w:rFonts w:ascii="宋体" w:hAnsi="宋体"/>
          <w:color w:val="auto"/>
          <w:sz w:val="24"/>
          <w:szCs w:val="24"/>
        </w:rPr>
      </w:pPr>
      <w:r>
        <w:rPr>
          <w:rFonts w:hint="eastAsia" w:ascii="宋体" w:hAnsi="宋体"/>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hint="eastAsia" w:ascii="宋体" w:hAnsi="宋体"/>
          <w:color w:val="auto"/>
          <w:sz w:val="24"/>
          <w:szCs w:val="24"/>
        </w:rPr>
        <w:t>重庆海云捷迅科技有限公司、北京海云捷迅科技有限公司、</w:t>
      </w:r>
      <w:r>
        <w:rPr>
          <w:rFonts w:ascii="宋体" w:hAnsi="宋体"/>
          <w:color w:val="auto"/>
          <w:sz w:val="24"/>
          <w:szCs w:val="24"/>
        </w:rPr>
        <w:t>重庆西永微电子产业园区开发有限公司</w:t>
      </w:r>
      <w:r>
        <w:rPr>
          <w:rFonts w:hint="eastAsia" w:ascii="宋体" w:hAnsi="宋体"/>
          <w:color w:val="auto"/>
          <w:sz w:val="24"/>
          <w:szCs w:val="24"/>
        </w:rPr>
        <w:t>联合设立“中国高校产学研创新基金-异构智能计算项目”，支持高校在人工智能、F</w:t>
      </w:r>
      <w:r>
        <w:rPr>
          <w:rFonts w:ascii="宋体" w:hAnsi="宋体"/>
          <w:color w:val="auto"/>
          <w:sz w:val="24"/>
          <w:szCs w:val="24"/>
        </w:rPr>
        <w:t>PGA</w:t>
      </w:r>
      <w:r>
        <w:rPr>
          <w:rFonts w:hint="eastAsia" w:ascii="宋体" w:hAnsi="宋体"/>
          <w:color w:val="auto"/>
          <w:sz w:val="24"/>
          <w:szCs w:val="24"/>
        </w:rPr>
        <w:t>、大数据、云计算等领域的创新研究，英特尔F</w:t>
      </w:r>
      <w:r>
        <w:rPr>
          <w:rFonts w:ascii="宋体" w:hAnsi="宋体"/>
          <w:color w:val="auto"/>
          <w:sz w:val="24"/>
          <w:szCs w:val="24"/>
        </w:rPr>
        <w:t>PGA</w:t>
      </w:r>
      <w:r>
        <w:rPr>
          <w:rFonts w:hint="eastAsia" w:ascii="宋体" w:hAnsi="宋体"/>
          <w:color w:val="auto"/>
          <w:sz w:val="24"/>
          <w:szCs w:val="24"/>
        </w:rPr>
        <w:t>中国创新中心提供基于英特尔FPGA的技术支持。</w:t>
      </w:r>
    </w:p>
    <w:p>
      <w:pPr>
        <w:pStyle w:val="3"/>
        <w:numPr>
          <w:ilvl w:val="0"/>
          <w:numId w:val="0"/>
        </w:numPr>
        <w:spacing w:before="163" w:line="440" w:lineRule="exact"/>
        <w:ind w:left="618"/>
        <w:rPr>
          <w:color w:val="auto"/>
        </w:rPr>
      </w:pPr>
      <w:r>
        <w:rPr>
          <w:rFonts w:hint="eastAsia"/>
          <w:color w:val="auto"/>
        </w:rPr>
        <w:t>一、课题说明</w:t>
      </w:r>
    </w:p>
    <w:p>
      <w:pPr>
        <w:spacing w:before="0" w:after="0" w:line="440" w:lineRule="exact"/>
        <w:ind w:firstLine="480"/>
        <w:rPr>
          <w:rFonts w:ascii="宋体" w:hAnsi="宋体"/>
          <w:color w:val="auto"/>
          <w:sz w:val="24"/>
          <w:szCs w:val="24"/>
        </w:rPr>
      </w:pPr>
      <w:r>
        <w:rPr>
          <w:rFonts w:hint="eastAsia" w:ascii="宋体" w:hAnsi="宋体"/>
          <w:color w:val="auto"/>
          <w:sz w:val="24"/>
          <w:szCs w:val="24"/>
        </w:rPr>
        <w:t>“异构智能计算项目”旨在全国范围内遴选合作高校，共同关注人工智能、F</w:t>
      </w:r>
      <w:r>
        <w:rPr>
          <w:rFonts w:ascii="宋体" w:hAnsi="宋体"/>
          <w:color w:val="auto"/>
          <w:sz w:val="24"/>
          <w:szCs w:val="24"/>
        </w:rPr>
        <w:t>PGA</w:t>
      </w:r>
      <w:r>
        <w:rPr>
          <w:rFonts w:hint="eastAsia" w:ascii="宋体" w:hAnsi="宋体"/>
          <w:color w:val="auto"/>
          <w:sz w:val="24"/>
          <w:szCs w:val="24"/>
        </w:rPr>
        <w:t>、大数据、云计算领域内的科研创新和教学实践，培养更多掌握人工智能技术的人才，助力地方产业升级。</w:t>
      </w:r>
    </w:p>
    <w:p>
      <w:pPr>
        <w:spacing w:before="0" w:after="0" w:line="440" w:lineRule="exact"/>
        <w:ind w:firstLine="480"/>
        <w:rPr>
          <w:rFonts w:ascii="宋体" w:hAnsi="宋体"/>
          <w:color w:val="auto"/>
          <w:sz w:val="24"/>
          <w:szCs w:val="24"/>
        </w:rPr>
      </w:pPr>
      <w:r>
        <w:rPr>
          <w:rFonts w:hint="eastAsia" w:ascii="宋体" w:hAnsi="宋体"/>
          <w:color w:val="auto"/>
          <w:sz w:val="24"/>
          <w:szCs w:val="24"/>
        </w:rPr>
        <w:t>1. 本次申报针对人工智能、F</w:t>
      </w:r>
      <w:r>
        <w:rPr>
          <w:rFonts w:ascii="宋体" w:hAnsi="宋体"/>
          <w:color w:val="auto"/>
          <w:sz w:val="24"/>
          <w:szCs w:val="24"/>
        </w:rPr>
        <w:t>PGA</w:t>
      </w:r>
      <w:r>
        <w:rPr>
          <w:rFonts w:hint="eastAsia" w:ascii="宋体" w:hAnsi="宋体"/>
          <w:color w:val="auto"/>
          <w:sz w:val="24"/>
          <w:szCs w:val="24"/>
        </w:rPr>
        <w:t>、大数据、云计算领域的科学研究及教学实践，以科技变革促进教育变革，创新人才培养机制，推动社会发展为目标。</w:t>
      </w:r>
    </w:p>
    <w:p>
      <w:pPr>
        <w:spacing w:before="0" w:after="0" w:line="440" w:lineRule="exact"/>
        <w:ind w:firstLine="480"/>
        <w:rPr>
          <w:rFonts w:ascii="宋体" w:hAnsi="宋体"/>
          <w:color w:val="auto"/>
          <w:sz w:val="24"/>
          <w:szCs w:val="24"/>
        </w:rPr>
      </w:pPr>
      <w:r>
        <w:rPr>
          <w:rFonts w:hint="eastAsia" w:ascii="宋体" w:hAnsi="宋体"/>
          <w:color w:val="auto"/>
          <w:sz w:val="24"/>
          <w:szCs w:val="24"/>
        </w:rPr>
        <w:t>2. 根据确定的研究内容，“异构智能计算项目”为每个立项课题提供20万元至50万元的研究经费及科研软硬件平台支持（研究经费不低于总经费的50%）。</w:t>
      </w:r>
    </w:p>
    <w:p>
      <w:pPr>
        <w:spacing w:before="0" w:after="0" w:line="440" w:lineRule="exact"/>
        <w:ind w:firstLine="480"/>
        <w:rPr>
          <w:rFonts w:ascii="宋体" w:hAnsi="宋体"/>
          <w:color w:val="auto"/>
          <w:sz w:val="24"/>
          <w:szCs w:val="24"/>
        </w:rPr>
      </w:pPr>
      <w:r>
        <w:rPr>
          <w:rFonts w:hint="eastAsia" w:ascii="宋体" w:hAnsi="宋体"/>
          <w:color w:val="auto"/>
          <w:sz w:val="24"/>
          <w:szCs w:val="24"/>
        </w:rPr>
        <w:t>3. 课题的计划执行时间为2021年1月1日～2021年12月31日，可根据课题复杂程度适度延长执行周期，最长不超过两年。</w:t>
      </w:r>
    </w:p>
    <w:p>
      <w:pPr>
        <w:spacing w:before="0" w:after="0" w:line="440" w:lineRule="exact"/>
        <w:ind w:firstLine="480"/>
        <w:rPr>
          <w:rFonts w:ascii="宋体" w:hAnsi="宋体"/>
          <w:color w:val="auto"/>
          <w:sz w:val="24"/>
          <w:szCs w:val="24"/>
        </w:rPr>
      </w:pPr>
      <w:r>
        <w:rPr>
          <w:rFonts w:hint="eastAsia" w:ascii="宋体" w:hAnsi="宋体"/>
          <w:color w:val="auto"/>
          <w:sz w:val="24"/>
          <w:szCs w:val="24"/>
        </w:rPr>
        <w:t>4. “异构智能计算项目”分为固定课题和自主课题两类：</w:t>
      </w:r>
    </w:p>
    <w:p>
      <w:pPr>
        <w:spacing w:before="0" w:after="0" w:line="440" w:lineRule="exact"/>
        <w:ind w:firstLine="480"/>
        <w:rPr>
          <w:rFonts w:ascii="宋体" w:hAnsi="宋体"/>
          <w:color w:val="auto"/>
          <w:sz w:val="24"/>
          <w:szCs w:val="24"/>
        </w:rPr>
      </w:pPr>
      <w:r>
        <w:rPr>
          <w:rFonts w:hint="eastAsia" w:ascii="宋体" w:hAnsi="宋体"/>
          <w:color w:val="auto"/>
          <w:sz w:val="24"/>
          <w:szCs w:val="24"/>
        </w:rPr>
        <w:t>⑴ 固定课题：根据产业发展需要，设立相关的科研课题，申请院校从表一中选择课题方向进行申报，要求基于项目提供的FPGA平台、人工智能平台和云平台进行研究（相关平台介绍见表三）。</w:t>
      </w: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表一 固定课题选题列表</w:t>
      </w:r>
    </w:p>
    <w:tbl>
      <w:tblPr>
        <w:tblStyle w:val="31"/>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43"/>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cs="宋体"/>
                <w:b/>
                <w:color w:val="auto"/>
                <w:szCs w:val="21"/>
              </w:rPr>
            </w:pPr>
            <w:r>
              <w:rPr>
                <w:rFonts w:hint="eastAsia" w:ascii="宋体" w:hAnsi="宋体" w:cs="宋体"/>
                <w:b/>
                <w:color w:val="auto"/>
                <w:szCs w:val="21"/>
              </w:rPr>
              <w:t>方向编号</w:t>
            </w:r>
          </w:p>
        </w:tc>
        <w:tc>
          <w:tcPr>
            <w:tcW w:w="1843"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cs="宋体"/>
                <w:b/>
                <w:color w:val="auto"/>
                <w:szCs w:val="21"/>
              </w:rPr>
            </w:pPr>
            <w:r>
              <w:rPr>
                <w:rFonts w:hint="eastAsia" w:ascii="宋体" w:hAnsi="宋体" w:cs="宋体"/>
                <w:b/>
                <w:color w:val="auto"/>
                <w:szCs w:val="21"/>
              </w:rPr>
              <w:t>课题方向</w:t>
            </w:r>
          </w:p>
        </w:tc>
        <w:tc>
          <w:tcPr>
            <w:tcW w:w="5737"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cs="宋体"/>
                <w:b/>
                <w:color w:val="auto"/>
                <w:szCs w:val="21"/>
              </w:rPr>
            </w:pPr>
            <w:r>
              <w:rPr>
                <w:rFonts w:hint="eastAsia" w:ascii="宋体" w:hAnsi="宋体" w:cs="宋体"/>
                <w:b/>
                <w:color w:val="auto"/>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exact"/>
              <w:ind w:firstLine="18" w:firstLineChars="9"/>
              <w:jc w:val="center"/>
              <w:rPr>
                <w:rFonts w:ascii="宋体" w:hAnsi="宋体"/>
                <w:color w:val="auto"/>
                <w:sz w:val="20"/>
              </w:rPr>
            </w:pPr>
            <w:r>
              <w:rPr>
                <w:rFonts w:hint="eastAsia" w:ascii="宋体" w:hAnsi="宋体"/>
                <w:color w:val="auto"/>
                <w:sz w:val="20"/>
              </w:rPr>
              <w:t>A01</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60" w:lineRule="exact"/>
              <w:ind w:firstLine="36" w:firstLineChars="18"/>
              <w:rPr>
                <w:rFonts w:ascii="宋体" w:hAnsi="宋体"/>
                <w:color w:val="auto"/>
                <w:sz w:val="20"/>
              </w:rPr>
            </w:pPr>
            <w:r>
              <w:rPr>
                <w:rFonts w:hint="eastAsia" w:ascii="宋体" w:hAnsi="宋体"/>
                <w:color w:val="auto"/>
                <w:sz w:val="20"/>
              </w:rPr>
              <w:t>基于FPGA的人工智能异构加速平台</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6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利用FPGA可编程芯片对人工智能深度学习算法进行加速，并形成软硬一体的异构加速平台</w:t>
            </w:r>
            <w:r>
              <w:rPr>
                <w:rFonts w:hint="eastAsia" w:ascii="宋体" w:hAnsi="宋体"/>
                <w:color w:val="auto"/>
                <w:sz w:val="20"/>
              </w:rPr>
              <w:t>。</w:t>
            </w:r>
          </w:p>
          <w:p>
            <w:pPr>
              <w:spacing w:beforeLines="50" w:afterLines="50" w:line="36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：基于 FPGA 的深度学习算法加速引擎，</w:t>
            </w:r>
            <w:r>
              <w:rPr>
                <w:rFonts w:hint="eastAsia" w:ascii="宋体" w:hAnsi="宋体"/>
                <w:color w:val="auto"/>
                <w:sz w:val="20"/>
              </w:rPr>
              <w:t>扩展现有平台的算子以适应更多的</w:t>
            </w:r>
            <w:r>
              <w:rPr>
                <w:rFonts w:ascii="宋体" w:hAnsi="宋体"/>
                <w:color w:val="auto"/>
                <w:sz w:val="20"/>
              </w:rPr>
              <w:t>模型算法</w:t>
            </w:r>
            <w:r>
              <w:rPr>
                <w:rFonts w:hint="eastAsia" w:ascii="宋体" w:hAnsi="宋体"/>
                <w:color w:val="auto"/>
                <w:sz w:val="20"/>
              </w:rPr>
              <w:t>；</w:t>
            </w:r>
            <w:r>
              <w:rPr>
                <w:rFonts w:ascii="宋体" w:hAnsi="宋体"/>
                <w:color w:val="auto"/>
                <w:sz w:val="20"/>
              </w:rPr>
              <w:t>基于上述引擎的配套软件工具链研究，要求与其他深度学习框架兼容，具备快速部署现有模型算法到FPGA中的能力。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A02</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40" w:lineRule="exact"/>
              <w:ind w:firstLine="36" w:firstLineChars="18"/>
              <w:rPr>
                <w:rFonts w:ascii="宋体" w:hAnsi="宋体" w:cs="宋体"/>
                <w:color w:val="auto"/>
                <w:sz w:val="20"/>
              </w:rPr>
            </w:pPr>
            <w:r>
              <w:rPr>
                <w:rFonts w:ascii="宋体" w:hAnsi="宋体"/>
                <w:color w:val="auto"/>
                <w:sz w:val="20"/>
              </w:rPr>
              <w:t>基于异构加速平台的</w:t>
            </w:r>
            <w:r>
              <w:rPr>
                <w:rFonts w:hint="eastAsia" w:ascii="宋体" w:hAnsi="宋体"/>
                <w:color w:val="auto"/>
                <w:sz w:val="20"/>
              </w:rPr>
              <w:t>人工智能算法实现与优化</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400"/>
              <w:jc w:val="left"/>
              <w:rPr>
                <w:rFonts w:ascii="宋体" w:hAnsi="宋体"/>
                <w:color w:val="auto"/>
                <w:sz w:val="20"/>
              </w:rPr>
            </w:pPr>
            <w:r>
              <w:rPr>
                <w:rFonts w:ascii="宋体" w:hAnsi="宋体"/>
                <w:color w:val="auto"/>
                <w:sz w:val="20"/>
              </w:rPr>
              <w:t>利用人工智能异构加速软硬一体平台，对主流算法进行加速及优化，算法包括但不限于检测、分类、识别等技术领域</w:t>
            </w:r>
            <w:r>
              <w:rPr>
                <w:rFonts w:hint="eastAsia" w:ascii="宋体" w:hAnsi="宋体"/>
                <w:color w:val="auto"/>
                <w:sz w:val="20"/>
              </w:rPr>
              <w:t>。</w:t>
            </w:r>
          </w:p>
          <w:p>
            <w:pPr>
              <w:spacing w:beforeLines="50" w:afterLines="50" w:line="34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研究</w:t>
            </w:r>
            <w:r>
              <w:rPr>
                <w:rFonts w:ascii="宋体" w:hAnsi="宋体"/>
                <w:color w:val="auto"/>
                <w:sz w:val="20"/>
              </w:rPr>
              <w:t>如何利用人工智能软硬一体平台对实用主流算法进行加速及优化，具体内容包括其他框架模型转换、模型压缩与量化、基于该平台的推理应用实现及FPGA加速能力调用。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A03</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40" w:lineRule="exact"/>
              <w:ind w:firstLine="36" w:firstLineChars="18"/>
              <w:rPr>
                <w:rFonts w:ascii="宋体" w:hAnsi="宋体" w:cs="宋体"/>
                <w:color w:val="auto"/>
                <w:sz w:val="20"/>
              </w:rPr>
            </w:pPr>
            <w:r>
              <w:rPr>
                <w:rFonts w:hint="eastAsia" w:ascii="宋体" w:hAnsi="宋体"/>
                <w:color w:val="auto"/>
                <w:sz w:val="20"/>
              </w:rPr>
              <w:t>基于FPGA的云计算与大数据应用加速</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400"/>
              <w:jc w:val="left"/>
              <w:rPr>
                <w:rFonts w:ascii="宋体" w:hAnsi="宋体"/>
                <w:color w:val="auto"/>
                <w:sz w:val="20"/>
              </w:rPr>
            </w:pPr>
            <w:r>
              <w:rPr>
                <w:rFonts w:hint="eastAsia" w:ascii="宋体" w:hAnsi="宋体"/>
                <w:color w:val="auto"/>
                <w:sz w:val="20"/>
              </w:rPr>
              <w:t>研究FPGA在云计算与大数据中的应用，对虚拟化、网络和</w:t>
            </w:r>
            <w:r>
              <w:rPr>
                <w:rFonts w:ascii="宋体" w:hAnsi="宋体"/>
                <w:color w:val="auto"/>
                <w:sz w:val="20"/>
              </w:rPr>
              <w:t>CEPH</w:t>
            </w:r>
            <w:r>
              <w:rPr>
                <w:rFonts w:hint="eastAsia" w:ascii="宋体" w:hAnsi="宋体"/>
                <w:color w:val="auto"/>
                <w:sz w:val="20"/>
              </w:rPr>
              <w:t>存储进行加速，提高性能和提升用户体验，研究基于FPGA的数据压缩与解压、数据加解密；研究在数据接入、数据存储、数据分析挖掘、数据共享交换、数据展现等多个环节</w:t>
            </w:r>
            <w:r>
              <w:rPr>
                <w:rFonts w:ascii="宋体" w:hAnsi="宋体"/>
                <w:color w:val="auto"/>
                <w:sz w:val="20"/>
              </w:rPr>
              <w:t>的</w:t>
            </w:r>
            <w:r>
              <w:rPr>
                <w:rFonts w:hint="eastAsia" w:ascii="宋体" w:hAnsi="宋体"/>
                <w:color w:val="auto"/>
                <w:sz w:val="20"/>
              </w:rPr>
              <w:t>加速应用。</w:t>
            </w:r>
          </w:p>
          <w:p>
            <w:pPr>
              <w:spacing w:beforeLines="50" w:afterLines="50" w:line="34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基于FPGA的虚拟化技术、基于FPGA数据中心网络加速技术、基于FPGA的</w:t>
            </w:r>
            <w:r>
              <w:rPr>
                <w:rFonts w:ascii="宋体" w:hAnsi="宋体"/>
                <w:color w:val="auto"/>
                <w:sz w:val="20"/>
              </w:rPr>
              <w:t>CEPH</w:t>
            </w:r>
            <w:r>
              <w:rPr>
                <w:rFonts w:hint="eastAsia" w:ascii="宋体" w:hAnsi="宋体"/>
                <w:color w:val="auto"/>
                <w:sz w:val="20"/>
              </w:rPr>
              <w:t>存储加速技术、基于FPGA的数据压缩与解压、数据加解密技术、基于FPGA的数据分析挖掘加速技术、基于FPGA的数据可视化加速技术等。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A04</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40" w:lineRule="exact"/>
              <w:ind w:firstLine="36" w:firstLineChars="18"/>
              <w:rPr>
                <w:rFonts w:ascii="宋体" w:hAnsi="宋体" w:cs="宋体"/>
                <w:color w:val="auto"/>
                <w:sz w:val="20"/>
              </w:rPr>
            </w:pPr>
            <w:r>
              <w:rPr>
                <w:rFonts w:hint="eastAsia" w:ascii="宋体" w:hAnsi="宋体"/>
                <w:color w:val="auto"/>
                <w:sz w:val="20"/>
              </w:rPr>
              <w:t>基于FPGA的</w:t>
            </w:r>
            <w:r>
              <w:rPr>
                <w:rFonts w:ascii="宋体" w:hAnsi="宋体"/>
                <w:color w:val="auto"/>
                <w:sz w:val="20"/>
              </w:rPr>
              <w:t>边缘计算</w:t>
            </w:r>
            <w:r>
              <w:rPr>
                <w:rFonts w:hint="eastAsia" w:ascii="宋体" w:hAnsi="宋体"/>
                <w:color w:val="auto"/>
                <w:sz w:val="20"/>
              </w:rPr>
              <w:t>应用加速</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400"/>
              <w:jc w:val="left"/>
              <w:rPr>
                <w:rFonts w:ascii="宋体" w:hAnsi="宋体"/>
                <w:color w:val="auto"/>
                <w:sz w:val="20"/>
              </w:rPr>
            </w:pPr>
            <w:r>
              <w:rPr>
                <w:rFonts w:hint="eastAsia" w:ascii="宋体" w:hAnsi="宋体"/>
                <w:color w:val="auto"/>
                <w:sz w:val="20"/>
              </w:rPr>
              <w:t>研究FPGA</w:t>
            </w:r>
            <w:r>
              <w:rPr>
                <w:rFonts w:ascii="宋体" w:hAnsi="宋体"/>
                <w:color w:val="auto"/>
                <w:sz w:val="20"/>
              </w:rPr>
              <w:t>在边缘计算</w:t>
            </w:r>
            <w:r>
              <w:rPr>
                <w:rFonts w:hint="eastAsia" w:ascii="宋体" w:hAnsi="宋体"/>
                <w:color w:val="auto"/>
                <w:sz w:val="20"/>
              </w:rPr>
              <w:t>应用</w:t>
            </w:r>
            <w:r>
              <w:rPr>
                <w:rFonts w:ascii="宋体" w:hAnsi="宋体"/>
                <w:color w:val="auto"/>
                <w:sz w:val="20"/>
              </w:rPr>
              <w:t>中的加速</w:t>
            </w:r>
            <w:r>
              <w:rPr>
                <w:rFonts w:hint="eastAsia" w:ascii="宋体" w:hAnsi="宋体"/>
                <w:color w:val="auto"/>
                <w:sz w:val="20"/>
              </w:rPr>
              <w:t>，</w:t>
            </w:r>
            <w:r>
              <w:rPr>
                <w:rFonts w:ascii="宋体" w:hAnsi="宋体"/>
                <w:color w:val="auto"/>
                <w:sz w:val="20"/>
              </w:rPr>
              <w:t>应用场景包括但不限于智慧交通，智慧城市，智慧农业等</w:t>
            </w:r>
            <w:r>
              <w:rPr>
                <w:rFonts w:hint="eastAsia" w:ascii="宋体" w:hAnsi="宋体"/>
                <w:color w:val="auto"/>
                <w:sz w:val="20"/>
              </w:rPr>
              <w:t>。</w:t>
            </w:r>
          </w:p>
          <w:p>
            <w:pPr>
              <w:spacing w:beforeLines="50" w:afterLines="50" w:line="34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FPGA</w:t>
            </w:r>
            <w:r>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Pr>
                <w:rFonts w:hint="eastAsia" w:ascii="宋体" w:hAnsi="宋体"/>
                <w:color w:val="auto"/>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40" w:lineRule="exact"/>
              <w:ind w:firstLine="36" w:firstLineChars="18"/>
              <w:rPr>
                <w:rFonts w:ascii="宋体" w:hAnsi="宋体"/>
                <w:color w:val="auto"/>
                <w:sz w:val="20"/>
              </w:rPr>
            </w:pPr>
            <w:r>
              <w:rPr>
                <w:rFonts w:hint="eastAsia" w:ascii="宋体" w:hAnsi="宋体"/>
                <w:color w:val="auto"/>
                <w:sz w:val="20"/>
              </w:rPr>
              <w:t>面向物联网应用的FPGA技术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400"/>
              <w:jc w:val="left"/>
              <w:rPr>
                <w:rFonts w:ascii="宋体" w:hAnsi="宋体"/>
                <w:color w:val="auto"/>
                <w:sz w:val="20"/>
              </w:rPr>
            </w:pPr>
            <w:r>
              <w:rPr>
                <w:rFonts w:hint="eastAsia" w:ascii="宋体" w:hAnsi="宋体"/>
                <w:color w:val="auto"/>
                <w:sz w:val="20"/>
              </w:rPr>
              <w:t>研究FPGA在物联网中的应用，研究FPGA在数据采集、数据融合与预处理、传感器数据接入、工业物联网应用等多个环节中的应用开发。</w:t>
            </w:r>
          </w:p>
          <w:p>
            <w:pPr>
              <w:spacing w:beforeLines="50" w:afterLines="50" w:line="34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基于FPGA的多传感器数据采集与融合技术、基于FPGA物联网节点设计与分布式数据采集技术、基于FPGA的数据分析挖掘加速技术、基于FPGA的数据可视化加速技术等</w:t>
            </w:r>
            <w:r>
              <w:rPr>
                <w:rFonts w:ascii="宋体" w:hAnsi="宋体"/>
                <w:color w:val="auto"/>
                <w:sz w:val="20"/>
              </w:rPr>
              <w:t>、基于FPGA的智能物联网关技术</w:t>
            </w:r>
            <w:r>
              <w:rPr>
                <w:rFonts w:hint="eastAsia" w:ascii="宋体" w:hAnsi="宋体"/>
                <w:color w:val="auto"/>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A06</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40" w:lineRule="exact"/>
              <w:ind w:firstLine="36" w:firstLineChars="18"/>
              <w:rPr>
                <w:rFonts w:ascii="宋体" w:hAnsi="宋体"/>
                <w:color w:val="auto"/>
                <w:sz w:val="20"/>
              </w:rPr>
            </w:pPr>
            <w:r>
              <w:rPr>
                <w:rFonts w:hint="eastAsia" w:ascii="宋体" w:hAnsi="宋体"/>
                <w:color w:val="auto"/>
                <w:sz w:val="20"/>
              </w:rPr>
              <w:t>面向智能制造的FPGA技术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400"/>
              <w:jc w:val="left"/>
              <w:rPr>
                <w:rFonts w:ascii="宋体" w:hAnsi="宋体"/>
                <w:color w:val="auto"/>
                <w:sz w:val="20"/>
              </w:rPr>
            </w:pPr>
            <w:r>
              <w:rPr>
                <w:rFonts w:hint="eastAsia" w:ascii="宋体" w:hAnsi="宋体"/>
                <w:color w:val="auto"/>
                <w:sz w:val="20"/>
              </w:rPr>
              <w:t>研究FPGA在智能制造中的应用，研究FPGA在工业质量检测、面向工业流程的FPGA应用技术、基于FPGA的工业自动化装置等多个智能制造环节中关键技术。</w:t>
            </w:r>
          </w:p>
          <w:p>
            <w:pPr>
              <w:spacing w:beforeLines="50" w:afterLines="50" w:line="34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基于FPGA的工业质量检测、基于FPGA的工业机器人技术、机器视觉在工业自动化中的应用及FPGA实现方法、基于FPGA的工业以太网技术、基于FPGA的数据可视化加速技术等。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18" w:firstLineChars="9"/>
              <w:jc w:val="center"/>
              <w:rPr>
                <w:rFonts w:ascii="宋体" w:hAnsi="宋体"/>
                <w:color w:val="auto"/>
                <w:sz w:val="20"/>
              </w:rPr>
            </w:pPr>
            <w:r>
              <w:rPr>
                <w:rFonts w:hint="eastAsia" w:ascii="宋体" w:hAnsi="宋体"/>
                <w:color w:val="auto"/>
                <w:sz w:val="20"/>
              </w:rPr>
              <w:t>A07</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80" w:lineRule="exact"/>
              <w:ind w:firstLine="36" w:firstLineChars="18"/>
              <w:rPr>
                <w:rFonts w:ascii="宋体" w:hAnsi="宋体"/>
                <w:color w:val="auto"/>
                <w:sz w:val="20"/>
              </w:rPr>
            </w:pPr>
            <w:r>
              <w:rPr>
                <w:rFonts w:hint="eastAsia" w:ascii="宋体" w:hAnsi="宋体"/>
                <w:color w:val="auto"/>
                <w:sz w:val="20"/>
              </w:rPr>
              <w:t>面向金融领域的FPGA技术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400"/>
              <w:jc w:val="left"/>
              <w:rPr>
                <w:rFonts w:ascii="宋体" w:hAnsi="宋体"/>
                <w:color w:val="auto"/>
                <w:sz w:val="20"/>
              </w:rPr>
            </w:pPr>
            <w:r>
              <w:rPr>
                <w:rFonts w:hint="eastAsia" w:ascii="宋体" w:hAnsi="宋体"/>
                <w:color w:val="auto"/>
                <w:sz w:val="20"/>
              </w:rPr>
              <w:t>面向证券/期货等行业，实现基于 FPGA 技术的快速风控，交易指令合规性检查，信用账户风险检查等业务。研究支持证券、期货等多种风险检查引擎的 FPGA 方案，利用 FPGA 高性能网络接口，实现系统极速处理。</w:t>
            </w:r>
          </w:p>
          <w:p>
            <w:pPr>
              <w:spacing w:beforeLines="50" w:afterLines="50" w:line="38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高并发、低延迟、可灵活配置的多规则风险检查 IP 引擎，基于FPGA的风控模型算法 IP 库，基于FPGA的交易数据加速处理方法等。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18" w:firstLineChars="9"/>
              <w:jc w:val="center"/>
              <w:rPr>
                <w:rFonts w:ascii="宋体" w:hAnsi="宋体"/>
                <w:color w:val="auto"/>
                <w:sz w:val="20"/>
              </w:rPr>
            </w:pPr>
            <w:r>
              <w:rPr>
                <w:rFonts w:hint="eastAsia" w:ascii="宋体" w:hAnsi="宋体"/>
                <w:color w:val="auto"/>
                <w:sz w:val="20"/>
              </w:rPr>
              <w:t>A08</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80" w:lineRule="exact"/>
              <w:ind w:firstLine="36" w:firstLineChars="18"/>
              <w:rPr>
                <w:rFonts w:ascii="宋体" w:hAnsi="宋体"/>
                <w:color w:val="auto"/>
                <w:sz w:val="20"/>
              </w:rPr>
            </w:pPr>
            <w:r>
              <w:rPr>
                <w:rFonts w:hint="eastAsia" w:ascii="宋体" w:hAnsi="宋体"/>
                <w:color w:val="auto"/>
                <w:sz w:val="20"/>
              </w:rPr>
              <w:t>面向电力领域的FPGA技术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400"/>
              <w:jc w:val="left"/>
              <w:rPr>
                <w:rFonts w:ascii="宋体" w:hAnsi="宋体"/>
                <w:color w:val="auto"/>
                <w:sz w:val="20"/>
              </w:rPr>
            </w:pPr>
            <w:r>
              <w:rPr>
                <w:rFonts w:hint="eastAsia" w:ascii="宋体" w:hAnsi="宋体"/>
                <w:color w:val="auto"/>
                <w:sz w:val="20"/>
              </w:rPr>
              <w:t>研究FPGA在电力自动化中的应用，研究FPGA在发电、输电、变电、配电和用电等多个环节中应用方法及其关键技术，提升电力领域的自动化/智能化程度。</w:t>
            </w:r>
          </w:p>
          <w:p>
            <w:pPr>
              <w:spacing w:beforeLines="50" w:afterLines="50" w:line="38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基于FPGA的电力系统智能监测技术、基于FPGA的智能配电网络技术、基于FPGA的智能化用电管理技术、基于FPGA的泛在电力物联网技术等。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18" w:firstLineChars="9"/>
              <w:jc w:val="center"/>
              <w:rPr>
                <w:rFonts w:ascii="宋体" w:hAnsi="宋体"/>
                <w:color w:val="auto"/>
                <w:sz w:val="20"/>
              </w:rPr>
            </w:pPr>
            <w:r>
              <w:rPr>
                <w:rFonts w:hint="eastAsia" w:ascii="宋体" w:hAnsi="宋体"/>
                <w:color w:val="auto"/>
                <w:sz w:val="20"/>
              </w:rPr>
              <w:t>A09</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80" w:lineRule="exact"/>
              <w:ind w:firstLine="36" w:firstLineChars="18"/>
              <w:rPr>
                <w:rFonts w:ascii="宋体" w:hAnsi="宋体"/>
                <w:color w:val="auto"/>
                <w:sz w:val="20"/>
              </w:rPr>
            </w:pPr>
            <w:r>
              <w:rPr>
                <w:rFonts w:hint="eastAsia" w:ascii="宋体" w:hAnsi="宋体"/>
                <w:color w:val="auto"/>
                <w:sz w:val="20"/>
              </w:rPr>
              <w:t>面向无人系统的FPGA技术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400"/>
              <w:jc w:val="left"/>
              <w:rPr>
                <w:rFonts w:ascii="宋体" w:hAnsi="宋体"/>
                <w:color w:val="auto"/>
                <w:sz w:val="20"/>
              </w:rPr>
            </w:pPr>
            <w:r>
              <w:rPr>
                <w:rFonts w:hint="eastAsia" w:ascii="宋体" w:hAnsi="宋体"/>
                <w:color w:val="auto"/>
                <w:sz w:val="20"/>
              </w:rPr>
              <w:t>研究FPGA在机器人、无人机、自动驾驶、无人船/潜水器等无人系统中应用，重点突破FPGA在自动导航、目标识别与避让、道路/航道/航路识别等方向的应用，提升无人系统的智能化程度与实用性。</w:t>
            </w:r>
          </w:p>
          <w:p>
            <w:pPr>
              <w:spacing w:beforeLines="50" w:afterLines="50" w:line="38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基于FPGA的无人系统自动导航技术、基于FPGA的自动驾驶技术、基于FPGA的目标识别与避障技术、基于FPGA的道路/航道/航路识别技术等。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18" w:firstLineChars="9"/>
              <w:jc w:val="center"/>
              <w:rPr>
                <w:rFonts w:ascii="宋体" w:hAnsi="宋体"/>
                <w:color w:val="auto"/>
                <w:sz w:val="20"/>
              </w:rPr>
            </w:pPr>
            <w:r>
              <w:rPr>
                <w:rFonts w:hint="eastAsia" w:ascii="宋体" w:hAnsi="宋体"/>
                <w:color w:val="auto"/>
                <w:sz w:val="20"/>
              </w:rPr>
              <w:t xml:space="preserve">A10 </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Lines="50" w:afterLines="50" w:line="380" w:lineRule="exact"/>
              <w:ind w:firstLine="36" w:firstLineChars="18"/>
              <w:rPr>
                <w:rFonts w:ascii="宋体" w:hAnsi="宋体"/>
                <w:color w:val="auto"/>
                <w:sz w:val="20"/>
              </w:rPr>
            </w:pPr>
            <w:r>
              <w:rPr>
                <w:rFonts w:hint="eastAsia" w:ascii="宋体" w:hAnsi="宋体"/>
                <w:color w:val="auto"/>
                <w:sz w:val="20"/>
              </w:rPr>
              <w:t>面向先进通信网络设备的FPGA技术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Lines="50" w:afterLines="50" w:line="380" w:lineRule="exact"/>
              <w:ind w:firstLine="400"/>
              <w:jc w:val="left"/>
              <w:rPr>
                <w:rFonts w:ascii="宋体" w:hAnsi="宋体"/>
                <w:color w:val="auto"/>
                <w:sz w:val="20"/>
              </w:rPr>
            </w:pPr>
            <w:r>
              <w:rPr>
                <w:rFonts w:hint="eastAsia" w:ascii="宋体" w:hAnsi="宋体"/>
                <w:color w:val="auto"/>
                <w:sz w:val="20"/>
              </w:rPr>
              <w:t>研究FPGA在5G微基站、开放式无线接入网（Open RAN）、网络功能虚拟化、软件定义网络、智能网卡等先进通信网络设备中的应用与设计方法。</w:t>
            </w:r>
          </w:p>
          <w:p>
            <w:pPr>
              <w:spacing w:beforeLines="50" w:afterLines="50" w:line="38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基于FPGA的5G微型基站、基于FPGA的高速数据包处理与虚拟交换、基于FPGA的NFV 功能卸载和加速、基于FPGA的包过滤与入侵检测技术等。</w:t>
            </w:r>
          </w:p>
        </w:tc>
      </w:tr>
    </w:tbl>
    <w:p>
      <w:pPr>
        <w:spacing w:before="0" w:after="0" w:line="440" w:lineRule="exact"/>
        <w:ind w:firstLine="480"/>
        <w:rPr>
          <w:rFonts w:ascii="宋体" w:hAnsi="宋体"/>
          <w:color w:val="auto"/>
          <w:sz w:val="24"/>
          <w:szCs w:val="24"/>
        </w:rPr>
      </w:pPr>
    </w:p>
    <w:p>
      <w:pPr>
        <w:spacing w:before="0" w:after="0" w:line="440" w:lineRule="exact"/>
        <w:ind w:firstLine="480"/>
        <w:rPr>
          <w:rFonts w:ascii="宋体" w:hAnsi="宋体"/>
          <w:color w:val="auto"/>
          <w:sz w:val="24"/>
          <w:szCs w:val="24"/>
        </w:rPr>
      </w:pPr>
      <w:r>
        <w:rPr>
          <w:rFonts w:hint="eastAsia" w:ascii="宋体" w:hAnsi="宋体"/>
          <w:color w:val="auto"/>
          <w:sz w:val="24"/>
          <w:szCs w:val="24"/>
        </w:rPr>
        <w:t>⑵ 自主课题：根据自身的条件和区域的特点，结合项目提供的平台（相关平台介绍见表三），融合人工智能、F</w:t>
      </w:r>
      <w:r>
        <w:rPr>
          <w:rFonts w:ascii="宋体" w:hAnsi="宋体"/>
          <w:color w:val="auto"/>
          <w:sz w:val="24"/>
          <w:szCs w:val="24"/>
        </w:rPr>
        <w:t>PGA</w:t>
      </w:r>
      <w:r>
        <w:rPr>
          <w:rFonts w:hint="eastAsia" w:ascii="宋体" w:hAnsi="宋体"/>
          <w:color w:val="auto"/>
          <w:sz w:val="24"/>
          <w:szCs w:val="24"/>
        </w:rPr>
        <w:t>、大数据或云计算等技术，申请院校自主选择研究方向进行申报，申请院校从表二中选择课题领域进行申报。</w:t>
      </w:r>
    </w:p>
    <w:p>
      <w:pPr>
        <w:spacing w:before="0" w:after="0" w:line="440" w:lineRule="exact"/>
        <w:ind w:firstLine="480"/>
        <w:rPr>
          <w:rFonts w:ascii="宋体" w:hAnsi="宋体"/>
          <w:color w:val="auto"/>
          <w:sz w:val="24"/>
          <w:szCs w:val="24"/>
        </w:rPr>
      </w:pPr>
    </w:p>
    <w:p>
      <w:pPr>
        <w:spacing w:before="0" w:after="0" w:line="440" w:lineRule="exact"/>
        <w:ind w:firstLine="482"/>
        <w:jc w:val="center"/>
        <w:rPr>
          <w:rFonts w:ascii="宋体" w:hAnsi="宋体"/>
          <w:b/>
          <w:color w:val="auto"/>
          <w:sz w:val="24"/>
          <w:szCs w:val="24"/>
        </w:rPr>
      </w:pP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表二 自主课题选题列表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9"/>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shd w:val="clear" w:color="auto" w:fill="BFBFBF"/>
            <w:vAlign w:val="center"/>
          </w:tcPr>
          <w:p>
            <w:pPr>
              <w:spacing w:before="0" w:after="0" w:line="300" w:lineRule="exact"/>
              <w:ind w:firstLine="422"/>
              <w:jc w:val="center"/>
              <w:rPr>
                <w:rFonts w:ascii="宋体" w:hAnsi="宋体"/>
                <w:b/>
                <w:color w:val="auto"/>
                <w:szCs w:val="21"/>
              </w:rPr>
            </w:pPr>
            <w:r>
              <w:rPr>
                <w:rFonts w:hint="eastAsia" w:ascii="宋体" w:hAnsi="宋体"/>
                <w:b/>
                <w:color w:val="auto"/>
                <w:szCs w:val="21"/>
              </w:rPr>
              <w:t>方向编号</w:t>
            </w:r>
          </w:p>
        </w:tc>
        <w:tc>
          <w:tcPr>
            <w:tcW w:w="439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before="0" w:after="0" w:line="300" w:lineRule="exact"/>
              <w:ind w:firstLine="422"/>
              <w:jc w:val="center"/>
              <w:rPr>
                <w:rFonts w:ascii="宋体" w:hAnsi="宋体"/>
                <w:b/>
                <w:color w:val="auto"/>
                <w:szCs w:val="21"/>
              </w:rPr>
            </w:pPr>
            <w:r>
              <w:rPr>
                <w:rFonts w:hint="eastAsia" w:ascii="宋体" w:hAnsi="宋体"/>
                <w:b/>
                <w:color w:val="auto"/>
                <w:szCs w:val="21"/>
              </w:rPr>
              <w:t>课题领域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B01</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B02</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B03</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B04</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B05</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B06</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B07</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智慧金融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B08</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其他</w:t>
            </w:r>
          </w:p>
        </w:tc>
      </w:tr>
    </w:tbl>
    <w:p>
      <w:pPr>
        <w:spacing w:before="0" w:after="0" w:line="500" w:lineRule="exact"/>
        <w:ind w:firstLine="480"/>
        <w:rPr>
          <w:rFonts w:ascii="宋体" w:hAnsi="宋体"/>
          <w:color w:val="auto"/>
          <w:sz w:val="24"/>
          <w:szCs w:val="24"/>
        </w:rPr>
      </w:pPr>
    </w:p>
    <w:p>
      <w:pPr>
        <w:pStyle w:val="3"/>
        <w:numPr>
          <w:ilvl w:val="0"/>
          <w:numId w:val="2"/>
        </w:numPr>
        <w:spacing w:beforeLines="0" w:line="440" w:lineRule="exact"/>
        <w:ind w:left="0" w:firstLine="560" w:firstLineChars="200"/>
        <w:rPr>
          <w:color w:val="auto"/>
        </w:rPr>
      </w:pPr>
      <w:r>
        <w:rPr>
          <w:rFonts w:hint="eastAsia"/>
          <w:color w:val="auto"/>
        </w:rPr>
        <w:t>申报条件和要求</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 团队成员在选定的项目研究方向有较好的技术储备，包括与申报课题研究内容相关的研究成果、教材、论文、专利、获奖等。</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2. 团队组成合理，分工明确，数量不少于</w:t>
      </w:r>
      <w:r>
        <w:rPr>
          <w:rFonts w:ascii="宋体" w:hAnsi="宋体"/>
          <w:color w:val="auto"/>
          <w:sz w:val="24"/>
        </w:rPr>
        <w:t>3人；</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3. 优先支持已经设立人工智能相关专业或已经成立相关研究中心的院校。</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4. 优先支持研究内容有创造性、前瞻性和实用性，有可转化前景的课题。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5. 优先支持有明确研究成果，成果有应用价值，可复制、可推广的课题，不支持纯理论研究。</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6. 优先支持研究方向明确，研究内容详实，研究方案完整可行的课题。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7. 优先支持院校对所申报项目有资金、政策、人员和场地等条件支持的课题。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8. 优先支持参加过创新项目选题指导、深入了解产学研创新需求的课题。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10.立项课题项目获得的知识产权由合作方和课题项目承担单位共同所有。</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11.</w:t>
      </w:r>
      <w:r>
        <w:rPr>
          <w:rFonts w:hint="eastAsia" w:ascii="宋体" w:hAnsi="宋体" w:cs="宋体"/>
          <w:color w:val="auto"/>
          <w:sz w:val="24"/>
          <w:szCs w:val="24"/>
          <w:lang w:val="zh-TW" w:eastAsia="zh-TW"/>
        </w:rPr>
        <w:t xml:space="preserve"> 项目组在项目开展过程中，需具备可独立支配的研究基础软硬件条件</w:t>
      </w:r>
      <w:r>
        <w:rPr>
          <w:rFonts w:hint="eastAsia" w:ascii="宋体" w:hAnsi="宋体" w:cs="宋体"/>
          <w:color w:val="auto"/>
          <w:sz w:val="24"/>
          <w:szCs w:val="24"/>
          <w:lang w:val="zh-TW"/>
        </w:rPr>
        <w:t>，</w:t>
      </w:r>
      <w:r>
        <w:rPr>
          <w:rFonts w:hint="eastAsia" w:ascii="宋体" w:hAnsi="宋体" w:cs="宋体"/>
          <w:color w:val="auto"/>
          <w:sz w:val="24"/>
          <w:szCs w:val="24"/>
          <w:lang w:val="zh-TW" w:eastAsia="zh-TW"/>
        </w:rPr>
        <w:t>如需外部资源支持，须在项目申报书中明确指出。</w:t>
      </w:r>
    </w:p>
    <w:p>
      <w:pPr>
        <w:pStyle w:val="3"/>
        <w:numPr>
          <w:ilvl w:val="0"/>
          <w:numId w:val="0"/>
        </w:numPr>
        <w:spacing w:beforeLines="0" w:line="440" w:lineRule="exact"/>
        <w:ind w:firstLine="560" w:firstLineChars="200"/>
        <w:rPr>
          <w:color w:val="auto"/>
        </w:rPr>
      </w:pPr>
    </w:p>
    <w:p>
      <w:pPr>
        <w:pStyle w:val="3"/>
        <w:numPr>
          <w:ilvl w:val="0"/>
          <w:numId w:val="0"/>
        </w:numPr>
        <w:spacing w:beforeLines="0" w:line="420" w:lineRule="exact"/>
        <w:ind w:firstLine="560" w:firstLineChars="200"/>
        <w:rPr>
          <w:color w:val="auto"/>
        </w:rPr>
      </w:pPr>
      <w:r>
        <w:rPr>
          <w:rFonts w:hint="eastAsia"/>
          <w:color w:val="auto"/>
        </w:rPr>
        <w:t>三、资源及服务</w:t>
      </w:r>
    </w:p>
    <w:p>
      <w:pPr>
        <w:spacing w:before="0" w:after="0" w:line="420" w:lineRule="exact"/>
        <w:ind w:firstLine="480"/>
        <w:rPr>
          <w:rFonts w:ascii="宋体" w:hAnsi="宋体"/>
          <w:color w:val="auto"/>
          <w:sz w:val="24"/>
          <w:szCs w:val="24"/>
        </w:rPr>
      </w:pPr>
      <w:r>
        <w:rPr>
          <w:rFonts w:hint="eastAsia" w:ascii="宋体" w:hAnsi="宋体"/>
          <w:color w:val="auto"/>
          <w:sz w:val="24"/>
          <w:szCs w:val="24"/>
        </w:rPr>
        <w:t>针对入选合作院校，将提供完善的资源和服务体系，以保证院校顺利开展合作项目，并为院校在人工智能、F</w:t>
      </w:r>
      <w:r>
        <w:rPr>
          <w:rFonts w:ascii="宋体" w:hAnsi="宋体"/>
          <w:color w:val="auto"/>
          <w:sz w:val="24"/>
          <w:szCs w:val="24"/>
        </w:rPr>
        <w:t>PGA</w:t>
      </w:r>
      <w:r>
        <w:rPr>
          <w:rFonts w:hint="eastAsia" w:ascii="宋体" w:hAnsi="宋体"/>
          <w:color w:val="auto"/>
          <w:sz w:val="24"/>
          <w:szCs w:val="24"/>
        </w:rPr>
        <w:t>、大数据和云计算等方向的科研及人才培养提供长期有效的支持。</w:t>
      </w:r>
    </w:p>
    <w:p>
      <w:pPr>
        <w:spacing w:before="0" w:after="0" w:line="420" w:lineRule="exact"/>
        <w:ind w:firstLine="480"/>
        <w:rPr>
          <w:rFonts w:ascii="宋体" w:hAnsi="宋体"/>
          <w:color w:val="auto"/>
          <w:sz w:val="24"/>
          <w:szCs w:val="24"/>
        </w:rPr>
      </w:pPr>
      <w:r>
        <w:rPr>
          <w:rFonts w:hint="eastAsia" w:ascii="宋体" w:hAnsi="宋体"/>
          <w:color w:val="auto"/>
          <w:sz w:val="24"/>
          <w:szCs w:val="24"/>
        </w:rPr>
        <w:t>1．“异构智能计算项目”为每个立项课题提供对应的经费支持和实验设施与服务支持，为申报团队提供创新项目选题指导，协助团队完成科研项目或创新项目基础平台搭建和教师培训工作，并根据需求开展服务校方等工作。</w:t>
      </w:r>
    </w:p>
    <w:p>
      <w:pPr>
        <w:spacing w:before="0" w:after="0" w:line="420" w:lineRule="exact"/>
        <w:ind w:firstLine="480"/>
        <w:rPr>
          <w:rFonts w:ascii="宋体" w:hAnsi="宋体"/>
          <w:color w:val="auto"/>
          <w:sz w:val="24"/>
          <w:szCs w:val="24"/>
        </w:rPr>
      </w:pPr>
      <w:r>
        <w:rPr>
          <w:rFonts w:hint="eastAsia" w:ascii="宋体" w:hAnsi="宋体"/>
          <w:color w:val="auto"/>
          <w:sz w:val="24"/>
          <w:szCs w:val="24"/>
        </w:rPr>
        <w:t>2．项目发起单位将辅助、联合申报院校申报新的科研课题，提供项目咨询服务和技术支持，辅助科研成果的快速产品化及解决方案的包装。</w:t>
      </w:r>
    </w:p>
    <w:p>
      <w:pPr>
        <w:spacing w:beforeLines="50" w:after="0" w:line="460" w:lineRule="exact"/>
        <w:ind w:firstLine="0" w:firstLineChars="0"/>
        <w:jc w:val="center"/>
        <w:rPr>
          <w:b/>
          <w:color w:val="auto"/>
          <w:sz w:val="24"/>
          <w:szCs w:val="24"/>
        </w:rPr>
      </w:pPr>
      <w:r>
        <w:rPr>
          <w:rFonts w:hint="eastAsia"/>
          <w:b/>
          <w:color w:val="auto"/>
          <w:sz w:val="24"/>
          <w:szCs w:val="24"/>
        </w:rPr>
        <w:t>表三 提供给课题研究的软硬件平台说明</w:t>
      </w:r>
    </w:p>
    <w:tbl>
      <w:tblPr>
        <w:tblStyle w:val="31"/>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技术编号</w:t>
            </w:r>
          </w:p>
        </w:tc>
        <w:tc>
          <w:tcPr>
            <w:tcW w:w="2268"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名称</w:t>
            </w:r>
          </w:p>
        </w:tc>
        <w:tc>
          <w:tcPr>
            <w:tcW w:w="609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135" w:type="dxa"/>
            <w:shd w:val="clear" w:color="auto" w:fill="auto"/>
            <w:vAlign w:val="center"/>
          </w:tcPr>
          <w:p>
            <w:pPr>
              <w:spacing w:before="0" w:after="0" w:line="340" w:lineRule="exact"/>
              <w:ind w:firstLine="0" w:firstLineChars="0"/>
              <w:jc w:val="center"/>
              <w:rPr>
                <w:rFonts w:ascii="宋体" w:hAnsi="宋体" w:cs="宋体"/>
                <w:color w:val="auto"/>
                <w:sz w:val="20"/>
              </w:rPr>
            </w:pPr>
            <w:r>
              <w:rPr>
                <w:rFonts w:hint="eastAsia" w:ascii="宋体" w:hAnsi="宋体" w:cs="宋体"/>
                <w:color w:val="auto"/>
                <w:sz w:val="20"/>
              </w:rPr>
              <w:t>C01</w:t>
            </w:r>
          </w:p>
        </w:tc>
        <w:tc>
          <w:tcPr>
            <w:tcW w:w="2268" w:type="dxa"/>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AILab实验管理平台</w:t>
            </w:r>
          </w:p>
        </w:tc>
        <w:tc>
          <w:tcPr>
            <w:tcW w:w="6095" w:type="dxa"/>
            <w:shd w:val="clear" w:color="auto" w:fill="auto"/>
            <w:vAlign w:val="center"/>
          </w:tcPr>
          <w:p>
            <w:pPr>
              <w:shd w:val="clear" w:color="auto" w:fill="FFFFFF"/>
              <w:spacing w:before="0" w:after="0" w:line="340" w:lineRule="exact"/>
              <w:ind w:firstLine="420" w:firstLineChars="0"/>
              <w:jc w:val="left"/>
              <w:rPr>
                <w:color w:val="auto"/>
                <w:sz w:val="20"/>
              </w:rPr>
            </w:pPr>
            <w:r>
              <w:rPr>
                <w:rFonts w:hint="eastAsia"/>
                <w:color w:val="auto"/>
                <w:sz w:val="20"/>
              </w:rPr>
              <w:t>AILab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pPr>
              <w:shd w:val="clear" w:color="auto" w:fill="FFFFFF"/>
              <w:spacing w:before="0" w:after="0" w:line="340" w:lineRule="exact"/>
              <w:ind w:firstLine="420" w:firstLineChars="0"/>
              <w:jc w:val="left"/>
              <w:rPr>
                <w:color w:val="auto"/>
                <w:sz w:val="20"/>
              </w:rPr>
            </w:pPr>
            <w:r>
              <w:rPr>
                <w:rFonts w:hint="eastAsia"/>
                <w:color w:val="auto"/>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135" w:type="dxa"/>
            <w:shd w:val="clear" w:color="auto" w:fill="auto"/>
            <w:vAlign w:val="center"/>
          </w:tcPr>
          <w:p>
            <w:pPr>
              <w:spacing w:before="0" w:after="0" w:line="340" w:lineRule="exact"/>
              <w:ind w:firstLine="0" w:firstLineChars="0"/>
              <w:jc w:val="center"/>
              <w:rPr>
                <w:rFonts w:ascii="宋体" w:hAnsi="宋体" w:cs="宋体"/>
                <w:color w:val="auto"/>
                <w:sz w:val="20"/>
              </w:rPr>
            </w:pPr>
            <w:r>
              <w:rPr>
                <w:rFonts w:ascii="宋体" w:hAnsi="宋体" w:cs="宋体"/>
                <w:color w:val="auto"/>
                <w:sz w:val="20"/>
              </w:rPr>
              <w:t>C02</w:t>
            </w:r>
          </w:p>
        </w:tc>
        <w:tc>
          <w:tcPr>
            <w:tcW w:w="2268" w:type="dxa"/>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AIStack人工智能管理平台</w:t>
            </w:r>
          </w:p>
        </w:tc>
        <w:tc>
          <w:tcPr>
            <w:tcW w:w="6095" w:type="dxa"/>
            <w:shd w:val="clear" w:color="auto" w:fill="auto"/>
            <w:vAlign w:val="center"/>
          </w:tcPr>
          <w:p>
            <w:pPr>
              <w:pStyle w:val="28"/>
              <w:shd w:val="clear" w:color="auto" w:fill="FFFFFF"/>
              <w:spacing w:before="0" w:beforeAutospacing="0" w:after="0" w:afterAutospacing="0" w:line="340" w:lineRule="exact"/>
              <w:ind w:firstLine="420"/>
              <w:rPr>
                <w:sz w:val="20"/>
                <w:szCs w:val="20"/>
              </w:rPr>
            </w:pPr>
            <w:r>
              <w:rPr>
                <w:rFonts w:hint="eastAsia"/>
                <w:sz w:val="20"/>
                <w:szCs w:val="20"/>
              </w:rPr>
              <w:t>AIStack平台帮助用户一键部署基于容器的人工智能训练集群，支持Tensorflow、Caffe、MXNet和Pytorch深度学习框架，提供训练集群任务完整的生命周期管理，包括训练任务的创建、跟踪、停止、重新训练和删除等，支持Jupyter Notebook、TensorBoard、Shell终端的图形化使用方式，并为训练好的模型提供模型托管和运行环境。</w:t>
            </w:r>
          </w:p>
          <w:p>
            <w:pPr>
              <w:pStyle w:val="28"/>
              <w:shd w:val="clear" w:color="auto" w:fill="FFFFFF"/>
              <w:spacing w:before="0" w:beforeAutospacing="0" w:after="0" w:afterAutospacing="0" w:line="340" w:lineRule="exact"/>
              <w:ind w:firstLine="420"/>
              <w:rPr>
                <w:sz w:val="20"/>
                <w:szCs w:val="20"/>
              </w:rPr>
            </w:pPr>
            <w:r>
              <w:rPr>
                <w:rFonts w:hint="eastAsia"/>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shd w:val="clear" w:color="auto" w:fill="auto"/>
            <w:vAlign w:val="center"/>
          </w:tcPr>
          <w:p>
            <w:pPr>
              <w:spacing w:before="0" w:after="0" w:line="340" w:lineRule="exact"/>
              <w:ind w:firstLine="0" w:firstLineChars="0"/>
              <w:jc w:val="center"/>
              <w:rPr>
                <w:rFonts w:ascii="宋体" w:hAnsi="宋体"/>
                <w:b/>
                <w:color w:val="auto"/>
                <w:sz w:val="20"/>
              </w:rPr>
            </w:pPr>
            <w:r>
              <w:rPr>
                <w:rFonts w:hint="eastAsia" w:ascii="宋体" w:hAnsi="宋体" w:cs="宋体"/>
                <w:color w:val="auto"/>
                <w:sz w:val="20"/>
              </w:rPr>
              <w:t>C03</w:t>
            </w:r>
          </w:p>
        </w:tc>
        <w:tc>
          <w:tcPr>
            <w:tcW w:w="2268" w:type="dxa"/>
            <w:shd w:val="clear" w:color="auto" w:fill="auto"/>
            <w:vAlign w:val="center"/>
          </w:tcPr>
          <w:p>
            <w:pPr>
              <w:pStyle w:val="41"/>
              <w:spacing w:before="0" w:after="0" w:line="340" w:lineRule="exact"/>
              <w:ind w:left="0" w:firstLine="0" w:firstLineChars="0"/>
              <w:jc w:val="left"/>
              <w:rPr>
                <w:rFonts w:ascii="宋体" w:hAnsi="宋体"/>
                <w:color w:val="auto"/>
                <w:sz w:val="20"/>
              </w:rPr>
            </w:pPr>
            <w:r>
              <w:rPr>
                <w:rFonts w:hint="eastAsia" w:ascii="宋体" w:hAnsi="宋体" w:cs="宋体"/>
                <w:color w:val="auto"/>
                <w:sz w:val="20"/>
              </w:rPr>
              <w:t>AWCloud云计算管理平台</w:t>
            </w:r>
          </w:p>
        </w:tc>
        <w:tc>
          <w:tcPr>
            <w:tcW w:w="6095" w:type="dxa"/>
            <w:shd w:val="clear" w:color="auto" w:fill="auto"/>
            <w:vAlign w:val="center"/>
          </w:tcPr>
          <w:p>
            <w:pPr>
              <w:pStyle w:val="28"/>
              <w:shd w:val="clear" w:color="auto" w:fill="FFFFFF"/>
              <w:spacing w:before="0" w:beforeAutospacing="0" w:after="0" w:afterAutospacing="0" w:line="340" w:lineRule="exact"/>
              <w:ind w:firstLine="420"/>
              <w:rPr>
                <w:sz w:val="20"/>
                <w:szCs w:val="20"/>
              </w:rPr>
            </w:pPr>
            <w:r>
              <w:rPr>
                <w:rFonts w:hint="eastAsia"/>
                <w:sz w:val="20"/>
                <w:szCs w:val="20"/>
              </w:rPr>
              <w:t>AWCloud是为企业用户提供的用于统一管理多种云资源的云计算管理平台。通过超融合、软件定义网络、软件定义存储、自动化运维等技术的综合应用，使企业能够以最小的初始成本快速实现IT基础设施的“云化”；同时，产品可以随着企业规模的扩大、自身业务的增长，实现“积木堆叠式”的弹性扩容，按需分配，按需升级，从而提升企业IT整体效率。以企业业务的视角，从企业、部门、项目等不同的维度对资源进行统一的规划、管理和计量。</w:t>
            </w:r>
          </w:p>
          <w:p>
            <w:pPr>
              <w:pStyle w:val="28"/>
              <w:shd w:val="clear" w:color="auto" w:fill="FFFFFF"/>
              <w:spacing w:before="0" w:beforeAutospacing="0" w:after="0" w:afterAutospacing="0" w:line="340" w:lineRule="exact"/>
              <w:rPr>
                <w:sz w:val="20"/>
                <w:szCs w:val="20"/>
              </w:rPr>
            </w:pPr>
            <w:r>
              <w:rPr>
                <w:rFonts w:hint="eastAsia"/>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line="340" w:lineRule="exact"/>
              <w:ind w:firstLine="0" w:firstLineChars="0"/>
              <w:jc w:val="center"/>
              <w:rPr>
                <w:rFonts w:ascii="宋体" w:hAnsi="宋体" w:cs="宋体"/>
                <w:color w:val="auto"/>
                <w:sz w:val="20"/>
              </w:rPr>
            </w:pPr>
            <w:r>
              <w:rPr>
                <w:rFonts w:hint="eastAsia" w:ascii="宋体" w:hAnsi="宋体" w:cs="宋体"/>
                <w:color w:val="auto"/>
                <w:sz w:val="20"/>
              </w:rPr>
              <w:t>C04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人工智能边缘实验平台</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shd w:val="clear" w:color="auto" w:fill="FFFFFF"/>
              <w:spacing w:before="0" w:beforeAutospacing="0" w:after="0" w:afterAutospacing="0" w:line="340" w:lineRule="exact"/>
              <w:ind w:firstLine="420"/>
              <w:rPr>
                <w:sz w:val="20"/>
                <w:szCs w:val="20"/>
              </w:rPr>
            </w:pPr>
            <w:r>
              <w:rPr>
                <w:rFonts w:hint="eastAsia"/>
                <w:sz w:val="20"/>
                <w:szCs w:val="20"/>
              </w:rPr>
              <w:t>包含FPGA开发板节点、20块Cyclone V FPGA开发板和管理软件，一体化交付，可以实现对节点和开发板的统一管理，支持人工智能边缘计算实验管理，提供用户管理、开发板管理、节点管理、告警、开发板状态统计等功能，建设虚拟仿真实验室，实现远程访问FPGA开发板进行开发和实验，解决现场实验开发板管理、回收和发放的繁琐工作。支持与云计算管理平台对接。</w:t>
            </w:r>
          </w:p>
          <w:p>
            <w:pPr>
              <w:pStyle w:val="28"/>
              <w:shd w:val="clear" w:color="auto" w:fill="FFFFFF"/>
              <w:spacing w:before="0" w:beforeAutospacing="0" w:after="0" w:afterAutospacing="0" w:line="340" w:lineRule="exact"/>
              <w:ind w:firstLine="420"/>
              <w:rPr>
                <w:sz w:val="20"/>
                <w:szCs w:val="20"/>
              </w:rPr>
            </w:pPr>
            <w:r>
              <w:rPr>
                <w:rFonts w:hint="eastAsia"/>
                <w:sz w:val="20"/>
              </w:rPr>
              <w:t>提供云服务环境。</w:t>
            </w:r>
          </w:p>
        </w:tc>
      </w:tr>
    </w:tbl>
    <w:p>
      <w:pPr>
        <w:spacing w:before="0" w:after="0" w:line="46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0" w:after="0"/>
              <w:ind w:firstLine="0" w:firstLineChars="0"/>
              <w:jc w:val="center"/>
              <w:rPr>
                <w:rFonts w:ascii="宋体" w:hAnsi="宋体"/>
                <w:b/>
                <w:color w:val="auto"/>
                <w:sz w:val="20"/>
                <w:szCs w:val="22"/>
              </w:rPr>
            </w:pPr>
          </w:p>
        </w:tc>
      </w:tr>
    </w:tbl>
    <w:p>
      <w:pPr>
        <w:pStyle w:val="3"/>
        <w:numPr>
          <w:ilvl w:val="0"/>
          <w:numId w:val="0"/>
        </w:numPr>
        <w:spacing w:beforeLines="0" w:line="420" w:lineRule="exact"/>
        <w:ind w:firstLine="560" w:firstLineChars="200"/>
        <w:rPr>
          <w:color w:val="auto"/>
        </w:rPr>
      </w:pPr>
      <w:r>
        <w:rPr>
          <w:rFonts w:hint="eastAsia"/>
          <w:color w:val="auto"/>
        </w:rPr>
        <w:t>四、课题申报说明</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 申请人须仔细阅读申请指南，按照指南详细填写申请书，填写不合要求的课题会按照格式不符合要求处理。</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http://cxjj.cutech.edu.cn</w:t>
      </w:r>
      <w:r>
        <w:rPr>
          <w:rFonts w:hint="eastAsia" w:ascii="宋体" w:hAnsi="宋体" w:eastAsia="宋体"/>
          <w:b w:val="0"/>
          <w:bCs w:val="0"/>
          <w:color w:val="auto"/>
          <w:sz w:val="24"/>
          <w:szCs w:val="24"/>
        </w:rPr>
        <w:t>；为方便评审，申请书扫描件请按以下命名规则命名：学校名称+申请人姓名。</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 申请截止时间为2020年1</w:t>
      </w:r>
      <w:r>
        <w:rPr>
          <w:rFonts w:ascii="宋体" w:hAnsi="宋体" w:eastAsia="宋体"/>
          <w:b w:val="0"/>
          <w:bCs w:val="0"/>
          <w:color w:val="auto"/>
          <w:sz w:val="24"/>
          <w:szCs w:val="24"/>
        </w:rPr>
        <w:t>0</w:t>
      </w:r>
      <w:r>
        <w:rPr>
          <w:rFonts w:hint="eastAsia" w:ascii="宋体" w:hAnsi="宋体" w:eastAsia="宋体"/>
          <w:b w:val="0"/>
          <w:bCs w:val="0"/>
          <w:color w:val="auto"/>
          <w:sz w:val="24"/>
          <w:szCs w:val="24"/>
        </w:rPr>
        <w:t>月31日。</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 课题的计划执行时间为2021年1月1日～2021年12月31日，可根据课题复杂程度适度延长执行周期，最长不超过两年。</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 课题选题列表上的选题方向都不限定课题数量，但是如果存在内容重复的相似课题，专家组将根据课题组技术积累、课题方案、课题支撑条件等要素择优选择立项课题。</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6. 如果以联合课题组的形式申请课题，需要列明不同学校单位的课题任务。</w:t>
      </w:r>
    </w:p>
    <w:p>
      <w:pPr>
        <w:pStyle w:val="3"/>
        <w:numPr>
          <w:ilvl w:val="0"/>
          <w:numId w:val="0"/>
        </w:numPr>
        <w:spacing w:beforeLines="0" w:line="440" w:lineRule="exact"/>
        <w:ind w:left="199" w:leftChars="95" w:firstLine="482" w:firstLineChars="200"/>
        <w:rPr>
          <w:rFonts w:ascii="宋体" w:hAnsi="宋体" w:eastAsia="宋体"/>
          <w:bCs w:val="0"/>
          <w:color w:val="auto"/>
          <w:sz w:val="24"/>
          <w:szCs w:val="24"/>
        </w:rPr>
      </w:pPr>
      <w:r>
        <w:rPr>
          <w:rFonts w:hint="eastAsia" w:ascii="宋体" w:hAnsi="宋体" w:eastAsia="宋体"/>
          <w:bCs w:val="0"/>
          <w:color w:val="auto"/>
          <w:sz w:val="24"/>
          <w:szCs w:val="24"/>
        </w:rPr>
        <w:t>7. 课题申请人无需向支持企业额外购买配套设备或软件。</w:t>
      </w:r>
    </w:p>
    <w:p>
      <w:pPr>
        <w:pStyle w:val="3"/>
        <w:numPr>
          <w:ilvl w:val="0"/>
          <w:numId w:val="0"/>
        </w:numPr>
        <w:spacing w:beforeLines="0" w:line="420" w:lineRule="exact"/>
        <w:ind w:firstLine="560" w:firstLineChars="200"/>
        <w:rPr>
          <w:color w:val="auto"/>
        </w:rPr>
      </w:pPr>
    </w:p>
    <w:p>
      <w:pPr>
        <w:pStyle w:val="3"/>
        <w:numPr>
          <w:ilvl w:val="0"/>
          <w:numId w:val="0"/>
        </w:numPr>
        <w:spacing w:beforeLines="0" w:line="420" w:lineRule="exact"/>
        <w:ind w:firstLine="560" w:firstLineChars="200"/>
        <w:rPr>
          <w:color w:val="auto"/>
        </w:rPr>
      </w:pPr>
      <w:r>
        <w:rPr>
          <w:rFonts w:hint="eastAsia"/>
          <w:color w:val="auto"/>
        </w:rPr>
        <w:t>五、联系人及联系方式</w:t>
      </w:r>
    </w:p>
    <w:p>
      <w:pPr>
        <w:spacing w:before="0" w:after="0" w:line="440" w:lineRule="exact"/>
        <w:ind w:firstLine="566" w:firstLineChars="235"/>
        <w:rPr>
          <w:rFonts w:ascii="宋体" w:hAnsi="宋体"/>
          <w:color w:val="auto"/>
          <w:sz w:val="24"/>
          <w:szCs w:val="24"/>
        </w:rPr>
      </w:pPr>
      <w:r>
        <w:rPr>
          <w:rFonts w:hint="eastAsia" w:ascii="宋体" w:hAnsi="宋体"/>
          <w:b/>
          <w:color w:val="auto"/>
          <w:sz w:val="24"/>
          <w:szCs w:val="24"/>
        </w:rPr>
        <w:t>教育部科技发展中心联系人</w:t>
      </w:r>
      <w:r>
        <w:rPr>
          <w:rFonts w:hint="eastAsia" w:ascii="宋体" w:hAnsi="宋体"/>
          <w:color w:val="auto"/>
          <w:sz w:val="24"/>
          <w:szCs w:val="24"/>
        </w:rPr>
        <w:t>：</w:t>
      </w:r>
    </w:p>
    <w:p>
      <w:pPr>
        <w:spacing w:before="0" w:after="0" w:line="440" w:lineRule="exact"/>
        <w:ind w:firstLine="564" w:firstLineChars="235"/>
        <w:jc w:val="left"/>
        <w:rPr>
          <w:rFonts w:hint="eastAsia" w:ascii="宋体" w:hAnsi="宋体"/>
          <w:color w:val="auto"/>
          <w:sz w:val="24"/>
          <w:szCs w:val="24"/>
        </w:rPr>
      </w:pPr>
      <w:r>
        <w:rPr>
          <w:rFonts w:hint="eastAsia" w:ascii="宋体" w:hAnsi="宋体"/>
          <w:color w:val="auto"/>
          <w:sz w:val="24"/>
          <w:szCs w:val="24"/>
        </w:rPr>
        <w:t xml:space="preserve">张  杰   电话：010-62514689   </w:t>
      </w:r>
    </w:p>
    <w:p>
      <w:pPr>
        <w:spacing w:before="0" w:after="0" w:line="440" w:lineRule="exact"/>
        <w:ind w:firstLine="1644" w:firstLineChars="685"/>
        <w:jc w:val="left"/>
        <w:rPr>
          <w:rFonts w:ascii="宋体" w:hAnsi="宋体"/>
          <w:color w:val="auto"/>
          <w:sz w:val="24"/>
          <w:szCs w:val="24"/>
        </w:rPr>
      </w:pPr>
      <w:r>
        <w:rPr>
          <w:rFonts w:hint="eastAsia" w:ascii="宋体" w:hAnsi="宋体"/>
          <w:color w:val="auto"/>
          <w:sz w:val="24"/>
          <w:szCs w:val="24"/>
        </w:rPr>
        <w:t>邮箱：</w:t>
      </w:r>
      <w:r>
        <w:rPr>
          <w:rFonts w:ascii="宋体" w:hAnsi="宋体"/>
          <w:color w:val="auto"/>
          <w:sz w:val="24"/>
          <w:szCs w:val="24"/>
        </w:rPr>
        <w:t>c</w:t>
      </w:r>
      <w:r>
        <w:rPr>
          <w:rFonts w:hint="eastAsia" w:ascii="宋体" w:hAnsi="宋体"/>
          <w:color w:val="auto"/>
          <w:sz w:val="24"/>
          <w:szCs w:val="24"/>
        </w:rPr>
        <w:t>hanxy-hyjx@cutech.edu.cn</w:t>
      </w:r>
    </w:p>
    <w:p>
      <w:pPr>
        <w:spacing w:before="0" w:after="0" w:line="440" w:lineRule="exact"/>
        <w:ind w:firstLine="566" w:firstLineChars="235"/>
        <w:rPr>
          <w:rFonts w:ascii="宋体" w:hAnsi="宋体"/>
          <w:b/>
          <w:color w:val="auto"/>
          <w:sz w:val="24"/>
          <w:szCs w:val="24"/>
        </w:rPr>
      </w:pPr>
      <w:r>
        <w:rPr>
          <w:rFonts w:hint="eastAsia" w:ascii="宋体" w:hAnsi="宋体"/>
          <w:b/>
          <w:color w:val="auto"/>
          <w:sz w:val="24"/>
          <w:szCs w:val="24"/>
        </w:rPr>
        <w:t>企业联系人：</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业务支持：</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邓博文</w:t>
      </w:r>
      <w:r>
        <w:rPr>
          <w:rFonts w:hint="eastAsia" w:ascii="宋体" w:hAnsi="宋体"/>
          <w:color w:val="auto"/>
          <w:sz w:val="24"/>
          <w:szCs w:val="24"/>
        </w:rPr>
        <w:t xml:space="preserve">   </w:t>
      </w:r>
      <w:r>
        <w:rPr>
          <w:rFonts w:hint="eastAsia" w:ascii="宋体" w:hAnsi="宋体"/>
          <w:iCs w:val="0"/>
          <w:color w:val="auto"/>
          <w:kern w:val="2"/>
          <w:sz w:val="24"/>
          <w:szCs w:val="24"/>
        </w:rPr>
        <w:t>电话：17701299990</w:t>
      </w:r>
    </w:p>
    <w:p>
      <w:pPr>
        <w:spacing w:before="0" w:after="0" w:line="440" w:lineRule="exact"/>
        <w:ind w:firstLine="564" w:firstLineChars="235"/>
        <w:rPr>
          <w:rFonts w:ascii="宋体" w:hAnsi="宋体"/>
          <w:color w:val="auto"/>
          <w:sz w:val="24"/>
          <w:szCs w:val="24"/>
        </w:rPr>
      </w:pPr>
      <w:r>
        <w:rPr>
          <w:rFonts w:hint="eastAsia" w:ascii="宋体" w:hAnsi="宋体"/>
          <w:color w:val="auto"/>
          <w:sz w:val="24"/>
          <w:szCs w:val="24"/>
        </w:rPr>
        <w:t>技术支持：</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柴广龙</w:t>
      </w:r>
      <w:r>
        <w:rPr>
          <w:rFonts w:hint="eastAsia" w:ascii="宋体" w:hAnsi="宋体"/>
          <w:color w:val="auto"/>
          <w:sz w:val="24"/>
          <w:szCs w:val="24"/>
        </w:rPr>
        <w:t xml:space="preserve">   </w:t>
      </w:r>
      <w:r>
        <w:rPr>
          <w:rFonts w:hint="eastAsia" w:ascii="宋体" w:hAnsi="宋体"/>
          <w:iCs w:val="0"/>
          <w:color w:val="auto"/>
          <w:kern w:val="2"/>
          <w:sz w:val="24"/>
          <w:szCs w:val="24"/>
        </w:rPr>
        <w:t>电话：</w:t>
      </w:r>
      <w:r>
        <w:rPr>
          <w:rFonts w:ascii="宋体" w:hAnsi="宋体"/>
          <w:iCs w:val="0"/>
          <w:color w:val="auto"/>
          <w:kern w:val="2"/>
          <w:sz w:val="24"/>
          <w:szCs w:val="24"/>
        </w:rPr>
        <w:t>13501177257</w:t>
      </w:r>
    </w:p>
    <w:p>
      <w:pPr>
        <w:spacing w:before="0" w:after="0" w:line="440" w:lineRule="exact"/>
        <w:ind w:firstLine="564" w:firstLineChars="235"/>
        <w:rPr>
          <w:rFonts w:ascii="宋体" w:hAnsi="宋体"/>
          <w:iCs w:val="0"/>
          <w:color w:val="auto"/>
          <w:kern w:val="2"/>
          <w:sz w:val="24"/>
          <w:szCs w:val="24"/>
        </w:rPr>
      </w:pPr>
      <w:r>
        <w:rPr>
          <w:rFonts w:ascii="宋体" w:hAnsi="宋体"/>
          <w:iCs w:val="0"/>
          <w:color w:val="auto"/>
          <w:kern w:val="2"/>
          <w:sz w:val="24"/>
          <w:szCs w:val="24"/>
        </w:rPr>
        <w:t>刘</w:t>
      </w:r>
      <w:r>
        <w:rPr>
          <w:rFonts w:hint="eastAsia" w:ascii="宋体" w:hAnsi="宋体"/>
          <w:iCs w:val="0"/>
          <w:color w:val="auto"/>
          <w:kern w:val="2"/>
          <w:sz w:val="24"/>
          <w:szCs w:val="24"/>
        </w:rPr>
        <w:t xml:space="preserve">  </w:t>
      </w:r>
      <w:r>
        <w:rPr>
          <w:rFonts w:ascii="宋体" w:hAnsi="宋体"/>
          <w:iCs w:val="0"/>
          <w:color w:val="auto"/>
          <w:kern w:val="2"/>
          <w:sz w:val="24"/>
          <w:szCs w:val="24"/>
        </w:rPr>
        <w:t>珂</w:t>
      </w:r>
      <w:r>
        <w:rPr>
          <w:rFonts w:hint="eastAsia" w:ascii="宋体" w:hAnsi="宋体"/>
          <w:iCs w:val="0"/>
          <w:color w:val="auto"/>
          <w:kern w:val="2"/>
          <w:sz w:val="24"/>
          <w:szCs w:val="24"/>
        </w:rPr>
        <w:t xml:space="preserve">   电话：18347284162</w:t>
      </w:r>
    </w:p>
    <w:p>
      <w:pPr>
        <w:spacing w:before="0" w:after="0" w:line="440" w:lineRule="exact"/>
        <w:ind w:firstLine="564" w:firstLineChars="235"/>
        <w:rPr>
          <w:rFonts w:ascii="宋体" w:hAnsi="宋体"/>
          <w:color w:val="auto"/>
          <w:sz w:val="24"/>
          <w:szCs w:val="24"/>
        </w:rPr>
      </w:pPr>
      <w:r>
        <w:rPr>
          <w:rFonts w:ascii="宋体" w:hAnsi="宋体"/>
          <w:iCs w:val="0"/>
          <w:color w:val="auto"/>
          <w:kern w:val="2"/>
          <w:sz w:val="24"/>
          <w:szCs w:val="24"/>
        </w:rPr>
        <w:t>刘宇光</w:t>
      </w:r>
      <w:r>
        <w:rPr>
          <w:rFonts w:hint="eastAsia" w:ascii="宋体" w:hAnsi="宋体"/>
          <w:iCs w:val="0"/>
          <w:color w:val="auto"/>
          <w:kern w:val="2"/>
          <w:sz w:val="24"/>
          <w:szCs w:val="24"/>
        </w:rPr>
        <w:t xml:space="preserve">   电话：18</w:t>
      </w:r>
      <w:r>
        <w:rPr>
          <w:rFonts w:ascii="宋体" w:hAnsi="宋体"/>
          <w:iCs w:val="0"/>
          <w:color w:val="auto"/>
          <w:kern w:val="2"/>
          <w:sz w:val="24"/>
          <w:szCs w:val="24"/>
        </w:rPr>
        <w:t>611735667</w:t>
      </w:r>
    </w:p>
    <w:sectPr>
      <w:headerReference r:id="rId5" w:type="first"/>
      <w:footerReference r:id="rId8" w:type="first"/>
      <w:headerReference r:id="rId3" w:type="default"/>
      <w:footerReference r:id="rId6" w:type="default"/>
      <w:headerReference r:id="rId4" w:type="even"/>
      <w:footerReference r:id="rId7" w:type="even"/>
      <w:pgSz w:w="11907" w:h="16839"/>
      <w:pgMar w:top="1134" w:right="1588" w:bottom="1134" w:left="1588" w:header="113" w:footer="113"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67338"/>
    <w:multiLevelType w:val="multilevel"/>
    <w:tmpl w:val="3856733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28FB"/>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168E"/>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21AA"/>
    <w:rsid w:val="00BC24AD"/>
    <w:rsid w:val="00BC58EA"/>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1AB31745"/>
    <w:rsid w:val="49AD2493"/>
    <w:rsid w:val="5D0A03B4"/>
    <w:rsid w:val="62071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ascii="Times New Roman" w:hAnsi="Times New Roman" w:eastAsia="微软雅黑" w:cs="Times New Roman"/>
      <w:b/>
      <w:bCs/>
      <w:iCs/>
      <w:color w:val="000000" w:themeColor="text1"/>
      <w:sz w:val="28"/>
      <w:szCs w:val="22"/>
    </w:rPr>
  </w:style>
  <w:style w:type="paragraph" w:styleId="41">
    <w:name w:val="List Paragraph"/>
    <w:basedOn w:val="1"/>
    <w:link w:val="86"/>
    <w:qFormat/>
    <w:uiPriority w:val="34"/>
    <w:pPr>
      <w:ind w:left="720"/>
      <w:contextualSpacing/>
    </w:pPr>
  </w:style>
  <w:style w:type="character" w:customStyle="1" w:styleId="42">
    <w:name w:val="标题 3 Char"/>
    <w:link w:val="4"/>
    <w:qFormat/>
    <w:uiPriority w:val="0"/>
    <w:rPr>
      <w:rFonts w:ascii="Times New Roman" w:hAnsi="Times New Roman" w:eastAsia="微软雅黑" w:cs="Times New Roman"/>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cs="Times New Roman"/>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cs="Times New Roman"/>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hidden/>
    <w:semiHidden/>
    <w:qFormat/>
    <w:uiPriority w:val="99"/>
    <w:rPr>
      <w:rFonts w:ascii="Times New Roman" w:hAnsi="Times New Roman" w:eastAsia="宋体" w:cs="Times New Roman"/>
      <w:iCs/>
      <w:color w:val="000000" w:themeColor="text1"/>
      <w:sz w:val="21"/>
      <w:lang w:val="en-US" w:eastAsia="zh-CN" w:bidi="ar-SA"/>
    </w:rPr>
  </w:style>
  <w:style w:type="character" w:customStyle="1" w:styleId="86">
    <w:name w:val="列出段落 Char"/>
    <w:basedOn w:val="33"/>
    <w:link w:val="41"/>
    <w:qFormat/>
    <w:locked/>
    <w:uiPriority w:val="34"/>
    <w:rPr>
      <w:rFonts w:ascii="Times New Roman" w:hAnsi="Times New Roman" w:eastAsia="宋体" w:cs="Times New Roman"/>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5E7FA-8461-48B8-B127-EE54BDEB29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755</Words>
  <Characters>4306</Characters>
  <Lines>35</Lines>
  <Paragraphs>10</Paragraphs>
  <TotalTime>0</TotalTime>
  <ScaleCrop>false</ScaleCrop>
  <LinksUpToDate>false</LinksUpToDate>
  <CharactersWithSpaces>5051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2020-07-09T02:59:00Z</dcterms:created>
  <dcterms:modified xsi:type="dcterms:W3CDTF">2020-09-14T02:02:23Z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