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01C85F">
      <w:pPr>
        <w:jc w:val="center"/>
        <w:rPr>
          <w:rFonts w:hint="eastAsia" w:ascii="方正小标宋简体" w:hAnsi="方正小标宋简体" w:eastAsia="方正小标宋简体" w:cs="方正小标宋简体"/>
          <w:sz w:val="28"/>
          <w:szCs w:val="36"/>
        </w:rPr>
      </w:pPr>
      <w:r>
        <w:rPr>
          <w:rFonts w:hint="eastAsia" w:ascii="方正小标宋简体" w:hAnsi="方正小标宋简体" w:eastAsia="方正小标宋简体" w:cs="方正小标宋简体"/>
          <w:sz w:val="28"/>
          <w:szCs w:val="36"/>
        </w:rPr>
        <w:t>2025年北京市科学技术奖提名公示内容（自然科学）</w:t>
      </w:r>
    </w:p>
    <w:p w14:paraId="5B08147C">
      <w:pPr>
        <w:numPr>
          <w:ilvl w:val="0"/>
          <w:numId w:val="1"/>
        </w:numPr>
        <w:rPr>
          <w:rFonts w:hint="eastAsia" w:ascii="黑体" w:hAnsi="黑体" w:eastAsia="黑体" w:cs="黑体"/>
          <w:sz w:val="28"/>
          <w:szCs w:val="36"/>
        </w:rPr>
      </w:pPr>
      <w:r>
        <w:rPr>
          <w:rFonts w:hint="eastAsia" w:ascii="黑体" w:hAnsi="黑体" w:eastAsia="黑体" w:cs="黑体"/>
          <w:sz w:val="28"/>
          <w:szCs w:val="36"/>
        </w:rPr>
        <w:t>项目名称</w:t>
      </w:r>
    </w:p>
    <w:p w14:paraId="2BBD6F39">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热年代学理论与应用研究</w:t>
      </w:r>
    </w:p>
    <w:p w14:paraId="4BDCA7E5">
      <w:pPr>
        <w:numPr>
          <w:ilvl w:val="0"/>
          <w:numId w:val="1"/>
        </w:numPr>
        <w:rPr>
          <w:rFonts w:hint="eastAsia" w:ascii="黑体" w:hAnsi="黑体" w:eastAsia="黑体" w:cs="黑体"/>
          <w:sz w:val="28"/>
          <w:szCs w:val="36"/>
        </w:rPr>
      </w:pPr>
      <w:r>
        <w:rPr>
          <w:rFonts w:hint="eastAsia" w:ascii="黑体" w:hAnsi="黑体" w:eastAsia="黑体" w:cs="黑体"/>
          <w:sz w:val="28"/>
          <w:szCs w:val="36"/>
        </w:rPr>
        <w:t>候选单位</w:t>
      </w:r>
    </w:p>
    <w:p w14:paraId="5B02EBD2">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1、中国石油大学（北京）；2、中山大学；3、中国科学院地质与地球物理研究所</w:t>
      </w:r>
    </w:p>
    <w:p w14:paraId="61074206">
      <w:pPr>
        <w:numPr>
          <w:ilvl w:val="0"/>
          <w:numId w:val="1"/>
        </w:numPr>
        <w:rPr>
          <w:rFonts w:hint="eastAsia" w:ascii="黑体" w:hAnsi="黑体" w:eastAsia="黑体" w:cs="黑体"/>
          <w:sz w:val="28"/>
          <w:szCs w:val="36"/>
        </w:rPr>
      </w:pPr>
      <w:r>
        <w:rPr>
          <w:rFonts w:hint="eastAsia" w:ascii="黑体" w:hAnsi="黑体" w:eastAsia="黑体" w:cs="黑体"/>
          <w:sz w:val="28"/>
          <w:szCs w:val="36"/>
        </w:rPr>
        <w:t>候选人</w:t>
      </w:r>
    </w:p>
    <w:p w14:paraId="7C688B85">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1、常健；2、江强；3、田云涛；4、邱楠生；5、王非；6、胡圣标；7、朱传庆</w:t>
      </w:r>
    </w:p>
    <w:p w14:paraId="6FB43FC2">
      <w:pPr>
        <w:numPr>
          <w:ilvl w:val="0"/>
          <w:numId w:val="1"/>
        </w:numPr>
        <w:rPr>
          <w:rFonts w:hint="eastAsia" w:ascii="黑体" w:hAnsi="黑体" w:eastAsia="黑体" w:cs="黑体"/>
          <w:sz w:val="28"/>
          <w:szCs w:val="36"/>
        </w:rPr>
      </w:pPr>
      <w:r>
        <w:rPr>
          <w:rFonts w:hint="eastAsia" w:ascii="黑体" w:hAnsi="黑体" w:eastAsia="黑体" w:cs="黑体"/>
          <w:sz w:val="28"/>
          <w:szCs w:val="36"/>
        </w:rPr>
        <w:t>提名意见</w:t>
      </w:r>
    </w:p>
    <w:p w14:paraId="3D44DAB8">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热年代学技术已成为地球科学的前沿领域和研究热点。围绕“热年代学理论与应用”这一研究领域，常健及其科研团队经过近20年研究，提出了自然系列样品磷灰石和锆石 (U-Th)/He封闭温度演化模式，开发了原位锆石(U-Th)/He天然标准样品</w:t>
      </w:r>
      <w:r>
        <w:rPr>
          <w:rFonts w:hint="eastAsia" w:ascii="Times New Roman" w:hAnsi="Times New Roman" w:eastAsia="宋体" w:cs="Times New Roman"/>
          <w:sz w:val="24"/>
        </w:rPr>
        <w:t>和透长石</w:t>
      </w:r>
      <w:r>
        <w:rPr>
          <w:rFonts w:ascii="Times New Roman" w:hAnsi="Times New Roman" w:eastAsia="宋体" w:cs="Times New Roman"/>
          <w:sz w:val="24"/>
          <w:vertAlign w:val="superscript"/>
        </w:rPr>
        <w:t>40</w:t>
      </w:r>
      <w:r>
        <w:rPr>
          <w:rFonts w:ascii="Times New Roman" w:hAnsi="Times New Roman" w:eastAsia="宋体" w:cs="Times New Roman"/>
          <w:sz w:val="24"/>
        </w:rPr>
        <w:t>Ar/</w:t>
      </w:r>
      <w:r>
        <w:rPr>
          <w:rFonts w:ascii="Times New Roman" w:hAnsi="Times New Roman" w:eastAsia="宋体" w:cs="Times New Roman"/>
          <w:sz w:val="24"/>
          <w:vertAlign w:val="superscript"/>
        </w:rPr>
        <w:t>39</w:t>
      </w:r>
      <w:r>
        <w:rPr>
          <w:rFonts w:ascii="Times New Roman" w:hAnsi="Times New Roman" w:eastAsia="宋体" w:cs="Times New Roman"/>
          <w:sz w:val="24"/>
        </w:rPr>
        <w:t>Ar</w:t>
      </w:r>
      <w:r>
        <w:rPr>
          <w:rFonts w:hint="eastAsia" w:ascii="Times New Roman" w:hAnsi="Times New Roman" w:eastAsia="宋体" w:cs="Times New Roman"/>
          <w:sz w:val="24"/>
        </w:rPr>
        <w:t>标准样品，提高了</w:t>
      </w:r>
      <w:r>
        <w:rPr>
          <w:rFonts w:ascii="Times New Roman" w:hAnsi="Times New Roman" w:eastAsia="宋体" w:cs="Times New Roman"/>
          <w:sz w:val="24"/>
        </w:rPr>
        <w:t>斜长石</w:t>
      </w:r>
      <w:bookmarkStart w:id="0" w:name="OLE_LINK1"/>
      <w:r>
        <w:rPr>
          <w:rFonts w:ascii="Times New Roman" w:hAnsi="Times New Roman" w:eastAsia="宋体" w:cs="Times New Roman"/>
          <w:sz w:val="24"/>
          <w:vertAlign w:val="superscript"/>
        </w:rPr>
        <w:t>40</w:t>
      </w:r>
      <w:r>
        <w:rPr>
          <w:rFonts w:ascii="Times New Roman" w:hAnsi="Times New Roman" w:eastAsia="宋体" w:cs="Times New Roman"/>
          <w:sz w:val="24"/>
        </w:rPr>
        <w:t>Ar/</w:t>
      </w:r>
      <w:r>
        <w:rPr>
          <w:rFonts w:ascii="Times New Roman" w:hAnsi="Times New Roman" w:eastAsia="宋体" w:cs="Times New Roman"/>
          <w:sz w:val="24"/>
          <w:vertAlign w:val="superscript"/>
        </w:rPr>
        <w:t>39</w:t>
      </w:r>
      <w:r>
        <w:rPr>
          <w:rFonts w:ascii="Times New Roman" w:hAnsi="Times New Roman" w:eastAsia="宋体" w:cs="Times New Roman"/>
          <w:sz w:val="24"/>
        </w:rPr>
        <w:t>Ar</w:t>
      </w:r>
      <w:bookmarkEnd w:id="0"/>
      <w:r>
        <w:rPr>
          <w:rFonts w:hint="eastAsia" w:ascii="Times New Roman" w:hAnsi="Times New Roman" w:eastAsia="宋体" w:cs="Times New Roman"/>
          <w:sz w:val="24"/>
        </w:rPr>
        <w:t>定年</w:t>
      </w:r>
      <w:r>
        <w:rPr>
          <w:rFonts w:ascii="Times New Roman" w:hAnsi="Times New Roman" w:eastAsia="宋体" w:cs="Times New Roman"/>
          <w:sz w:val="24"/>
        </w:rPr>
        <w:t>测试</w:t>
      </w:r>
      <w:r>
        <w:rPr>
          <w:rFonts w:hint="eastAsia" w:ascii="Times New Roman" w:hAnsi="Times New Roman" w:eastAsia="宋体" w:cs="Times New Roman"/>
          <w:sz w:val="24"/>
        </w:rPr>
        <w:t>精度</w:t>
      </w:r>
      <w:r>
        <w:rPr>
          <w:rFonts w:ascii="Times New Roman" w:hAnsi="Times New Roman" w:eastAsia="宋体" w:cs="Times New Roman"/>
          <w:sz w:val="24"/>
        </w:rPr>
        <w:t>，建立了首个显生宙全球火山喷发事件</w:t>
      </w:r>
      <w:r>
        <w:rPr>
          <w:rFonts w:ascii="Times New Roman" w:hAnsi="Times New Roman" w:eastAsia="宋体" w:cs="Times New Roman"/>
          <w:sz w:val="24"/>
          <w:vertAlign w:val="superscript"/>
        </w:rPr>
        <w:t>40</w:t>
      </w:r>
      <w:r>
        <w:rPr>
          <w:rFonts w:ascii="Times New Roman" w:hAnsi="Times New Roman" w:eastAsia="宋体" w:cs="Times New Roman"/>
          <w:sz w:val="24"/>
        </w:rPr>
        <w:t>Ar/</w:t>
      </w:r>
      <w:r>
        <w:rPr>
          <w:rFonts w:ascii="Times New Roman" w:hAnsi="Times New Roman" w:eastAsia="宋体" w:cs="Times New Roman"/>
          <w:sz w:val="24"/>
          <w:vertAlign w:val="superscript"/>
        </w:rPr>
        <w:t>39</w:t>
      </w:r>
      <w:r>
        <w:rPr>
          <w:rFonts w:ascii="Times New Roman" w:hAnsi="Times New Roman" w:eastAsia="宋体" w:cs="Times New Roman"/>
          <w:sz w:val="24"/>
        </w:rPr>
        <w:t>Ar和U-Pb年代学数据库，恢复了我国七大含油气盆地热历史，揭示了火山活动与气候环境变化的因果关系。项目发表SCI论文186篇，其中5篇代表性论文被引</w:t>
      </w:r>
      <w:r>
        <w:rPr>
          <w:rFonts w:hint="eastAsia" w:ascii="Times New Roman" w:hAnsi="Times New Roman" w:eastAsia="宋体" w:cs="Times New Roman"/>
          <w:sz w:val="24"/>
          <w:lang w:val="en-US" w:eastAsia="zh-CN"/>
        </w:rPr>
        <w:t>1287</w:t>
      </w:r>
      <w:r>
        <w:rPr>
          <w:rFonts w:ascii="Times New Roman" w:hAnsi="Times New Roman" w:eastAsia="宋体" w:cs="Times New Roman"/>
          <w:sz w:val="24"/>
        </w:rPr>
        <w:t>次（SCI它引</w:t>
      </w:r>
      <w:r>
        <w:rPr>
          <w:rFonts w:hint="eastAsia" w:ascii="Times New Roman" w:hAnsi="Times New Roman" w:eastAsia="宋体" w:cs="Times New Roman"/>
          <w:sz w:val="24"/>
          <w:lang w:val="en-US" w:eastAsia="zh-CN"/>
        </w:rPr>
        <w:t>672</w:t>
      </w:r>
      <w:r>
        <w:rPr>
          <w:rFonts w:ascii="Times New Roman" w:hAnsi="Times New Roman" w:eastAsia="宋体" w:cs="Times New Roman"/>
          <w:sz w:val="24"/>
        </w:rPr>
        <w:t>次）。研究成果促进了石油地质学和同位素地质年代学的发展，提升了我国在相关研究领域的国际地位和学术影响，对指导油气资源与地热能勘探和理解火山活动与全球气候环境关系具有重要的科学意义，是一项优秀的研究成果。</w:t>
      </w:r>
    </w:p>
    <w:p w14:paraId="7A7345A8">
      <w:pPr>
        <w:rPr>
          <w:rFonts w:hint="eastAsia" w:ascii="黑体" w:hAnsi="黑体" w:eastAsia="黑体" w:cs="黑体"/>
          <w:sz w:val="28"/>
          <w:szCs w:val="28"/>
        </w:rPr>
      </w:pPr>
      <w:r>
        <w:rPr>
          <w:rFonts w:hint="eastAsia" w:ascii="黑体" w:hAnsi="黑体" w:eastAsia="黑体" w:cs="黑体"/>
          <w:sz w:val="28"/>
          <w:szCs w:val="28"/>
        </w:rPr>
        <w:br w:type="page"/>
      </w:r>
    </w:p>
    <w:p w14:paraId="1E413C3F">
      <w:pPr>
        <w:rPr>
          <w:sz w:val="28"/>
          <w:szCs w:val="28"/>
        </w:rPr>
        <w:sectPr>
          <w:pgSz w:w="11906" w:h="16838"/>
          <w:pgMar w:top="1440" w:right="1800" w:bottom="1440" w:left="1800" w:header="851" w:footer="992" w:gutter="0"/>
          <w:cols w:space="425" w:num="1"/>
          <w:docGrid w:type="lines" w:linePitch="312" w:charSpace="0"/>
        </w:sectPr>
      </w:pPr>
    </w:p>
    <w:p w14:paraId="5EDA928C">
      <w:pPr>
        <w:numPr>
          <w:ilvl w:val="0"/>
          <w:numId w:val="1"/>
        </w:numPr>
        <w:rPr>
          <w:rFonts w:hint="eastAsia" w:ascii="黑体" w:hAnsi="黑体" w:eastAsia="黑体" w:cs="黑体"/>
          <w:sz w:val="28"/>
          <w:szCs w:val="36"/>
        </w:rPr>
      </w:pPr>
      <w:r>
        <w:rPr>
          <w:rFonts w:hint="eastAsia" w:ascii="黑体" w:hAnsi="黑体" w:eastAsia="黑体" w:cs="黑体"/>
          <w:sz w:val="28"/>
          <w:szCs w:val="36"/>
        </w:rPr>
        <w:t xml:space="preserve">代表作发表情况（限 </w:t>
      </w:r>
      <w:r>
        <w:rPr>
          <w:rFonts w:ascii="黑体" w:hAnsi="黑体" w:eastAsia="黑体" w:cs="黑体"/>
          <w:sz w:val="28"/>
          <w:szCs w:val="36"/>
        </w:rPr>
        <w:t xml:space="preserve">5 </w:t>
      </w:r>
      <w:r>
        <w:rPr>
          <w:rFonts w:hint="eastAsia" w:ascii="黑体" w:hAnsi="黑体" w:eastAsia="黑体" w:cs="黑体"/>
          <w:sz w:val="28"/>
          <w:szCs w:val="36"/>
        </w:rPr>
        <w:t>篇</w:t>
      </w:r>
      <w:r>
        <w:rPr>
          <w:rFonts w:ascii="黑体" w:hAnsi="黑体" w:eastAsia="黑体" w:cs="黑体"/>
          <w:sz w:val="28"/>
          <w:szCs w:val="36"/>
        </w:rPr>
        <w:t>）</w:t>
      </w:r>
    </w:p>
    <w:tbl>
      <w:tblPr>
        <w:tblStyle w:val="2"/>
        <w:tblW w:w="1385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48"/>
        <w:gridCol w:w="3118"/>
        <w:gridCol w:w="1701"/>
        <w:gridCol w:w="1418"/>
        <w:gridCol w:w="850"/>
        <w:gridCol w:w="941"/>
        <w:gridCol w:w="1611"/>
        <w:gridCol w:w="1476"/>
        <w:gridCol w:w="748"/>
        <w:gridCol w:w="1239"/>
      </w:tblGrid>
      <w:tr w14:paraId="32C0EA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1" w:hRule="atLeast"/>
          <w:jc w:val="center"/>
        </w:trPr>
        <w:tc>
          <w:tcPr>
            <w:tcW w:w="748" w:type="dxa"/>
            <w:vAlign w:val="center"/>
          </w:tcPr>
          <w:p w14:paraId="2EF66E9E">
            <w:pPr>
              <w:adjustRightInd w:val="0"/>
              <w:snapToGrid w:val="0"/>
              <w:jc w:val="center"/>
              <w:rPr>
                <w:b/>
                <w:color w:val="000000"/>
              </w:rPr>
            </w:pPr>
            <w:r>
              <w:rPr>
                <w:rFonts w:hint="eastAsia"/>
                <w:b/>
                <w:color w:val="000000"/>
              </w:rPr>
              <w:t>序号</w:t>
            </w:r>
          </w:p>
        </w:tc>
        <w:tc>
          <w:tcPr>
            <w:tcW w:w="3118" w:type="dxa"/>
            <w:vAlign w:val="center"/>
          </w:tcPr>
          <w:p w14:paraId="638904C3">
            <w:pPr>
              <w:adjustRightInd w:val="0"/>
              <w:snapToGrid w:val="0"/>
              <w:jc w:val="center"/>
              <w:rPr>
                <w:b/>
                <w:color w:val="000000"/>
              </w:rPr>
            </w:pPr>
            <w:r>
              <w:rPr>
                <w:b/>
                <w:color w:val="000000"/>
              </w:rPr>
              <w:t>论文(著作)名称</w:t>
            </w:r>
          </w:p>
        </w:tc>
        <w:tc>
          <w:tcPr>
            <w:tcW w:w="1701" w:type="dxa"/>
            <w:vAlign w:val="center"/>
          </w:tcPr>
          <w:p w14:paraId="3BDF3802">
            <w:pPr>
              <w:adjustRightInd w:val="0"/>
              <w:snapToGrid w:val="0"/>
              <w:jc w:val="center"/>
              <w:rPr>
                <w:b/>
                <w:color w:val="000000"/>
              </w:rPr>
            </w:pPr>
            <w:r>
              <w:rPr>
                <w:b/>
                <w:color w:val="000000"/>
              </w:rPr>
              <w:t>刊名/出版社</w:t>
            </w:r>
          </w:p>
        </w:tc>
        <w:tc>
          <w:tcPr>
            <w:tcW w:w="1418" w:type="dxa"/>
            <w:vAlign w:val="center"/>
          </w:tcPr>
          <w:p w14:paraId="3FA5C6F3">
            <w:pPr>
              <w:adjustRightInd w:val="0"/>
              <w:snapToGrid w:val="0"/>
              <w:jc w:val="center"/>
              <w:rPr>
                <w:b/>
                <w:color w:val="000000"/>
              </w:rPr>
            </w:pPr>
            <w:r>
              <w:rPr>
                <w:b/>
                <w:color w:val="000000"/>
              </w:rPr>
              <w:t>发表时间</w:t>
            </w:r>
          </w:p>
          <w:p w14:paraId="724C197C">
            <w:pPr>
              <w:adjustRightInd w:val="0"/>
              <w:snapToGrid w:val="0"/>
              <w:jc w:val="center"/>
              <w:rPr>
                <w:b/>
                <w:color w:val="000000"/>
              </w:rPr>
            </w:pPr>
            <w:r>
              <w:rPr>
                <w:b/>
                <w:color w:val="000000"/>
              </w:rPr>
              <w:t>(年月日)</w:t>
            </w:r>
          </w:p>
        </w:tc>
        <w:tc>
          <w:tcPr>
            <w:tcW w:w="850" w:type="dxa"/>
            <w:vAlign w:val="center"/>
          </w:tcPr>
          <w:p w14:paraId="62EF9C31">
            <w:pPr>
              <w:adjustRightInd w:val="0"/>
              <w:snapToGrid w:val="0"/>
              <w:jc w:val="center"/>
              <w:rPr>
                <w:b/>
                <w:color w:val="000000"/>
              </w:rPr>
            </w:pPr>
            <w:r>
              <w:rPr>
                <w:b/>
                <w:color w:val="000000"/>
              </w:rPr>
              <w:t>通讯</w:t>
            </w:r>
          </w:p>
          <w:p w14:paraId="242310FE">
            <w:pPr>
              <w:adjustRightInd w:val="0"/>
              <w:snapToGrid w:val="0"/>
              <w:jc w:val="center"/>
              <w:rPr>
                <w:b/>
                <w:color w:val="000000"/>
              </w:rPr>
            </w:pPr>
            <w:r>
              <w:rPr>
                <w:b/>
                <w:color w:val="000000"/>
              </w:rPr>
              <w:t>作者</w:t>
            </w:r>
            <w:r>
              <w:rPr>
                <w:rFonts w:hint="eastAsia"/>
                <w:b/>
                <w:color w:val="000000"/>
              </w:rPr>
              <w:t>（含共同）</w:t>
            </w:r>
            <w:r>
              <w:rPr>
                <w:b/>
                <w:color w:val="000000"/>
              </w:rPr>
              <w:t xml:space="preserve"> </w:t>
            </w:r>
          </w:p>
        </w:tc>
        <w:tc>
          <w:tcPr>
            <w:tcW w:w="941" w:type="dxa"/>
            <w:vAlign w:val="center"/>
          </w:tcPr>
          <w:p w14:paraId="25DED3F0">
            <w:pPr>
              <w:adjustRightInd w:val="0"/>
              <w:snapToGrid w:val="0"/>
              <w:jc w:val="center"/>
              <w:rPr>
                <w:b/>
                <w:color w:val="000000"/>
              </w:rPr>
            </w:pPr>
            <w:r>
              <w:rPr>
                <w:b/>
                <w:color w:val="000000"/>
              </w:rPr>
              <w:t>第一</w:t>
            </w:r>
          </w:p>
          <w:p w14:paraId="128835F5">
            <w:pPr>
              <w:adjustRightInd w:val="0"/>
              <w:snapToGrid w:val="0"/>
              <w:jc w:val="center"/>
              <w:rPr>
                <w:b/>
                <w:color w:val="000000"/>
              </w:rPr>
            </w:pPr>
            <w:r>
              <w:rPr>
                <w:b/>
                <w:color w:val="000000"/>
              </w:rPr>
              <w:t>作者</w:t>
            </w:r>
          </w:p>
        </w:tc>
        <w:tc>
          <w:tcPr>
            <w:tcW w:w="1611" w:type="dxa"/>
            <w:vAlign w:val="center"/>
          </w:tcPr>
          <w:p w14:paraId="20D897C4">
            <w:pPr>
              <w:adjustRightInd w:val="0"/>
              <w:snapToGrid w:val="0"/>
              <w:jc w:val="center"/>
              <w:rPr>
                <w:b/>
                <w:color w:val="000000"/>
              </w:rPr>
            </w:pPr>
            <w:r>
              <w:rPr>
                <w:b/>
                <w:color w:val="000000"/>
              </w:rPr>
              <w:t>全部作者</w:t>
            </w:r>
          </w:p>
        </w:tc>
        <w:tc>
          <w:tcPr>
            <w:tcW w:w="1476" w:type="dxa"/>
            <w:vAlign w:val="center"/>
          </w:tcPr>
          <w:p w14:paraId="468BAC4F">
            <w:pPr>
              <w:adjustRightInd w:val="0"/>
              <w:snapToGrid w:val="0"/>
              <w:jc w:val="center"/>
              <w:rPr>
                <w:b/>
                <w:color w:val="000000"/>
              </w:rPr>
            </w:pPr>
            <w:r>
              <w:rPr>
                <w:b/>
                <w:color w:val="000000"/>
              </w:rPr>
              <w:t>年卷期页码</w:t>
            </w:r>
          </w:p>
        </w:tc>
        <w:tc>
          <w:tcPr>
            <w:tcW w:w="748" w:type="dxa"/>
            <w:vAlign w:val="center"/>
          </w:tcPr>
          <w:p w14:paraId="6C20F5B1">
            <w:pPr>
              <w:adjustRightInd w:val="0"/>
              <w:snapToGrid w:val="0"/>
              <w:jc w:val="center"/>
              <w:rPr>
                <w:b/>
                <w:color w:val="000000"/>
              </w:rPr>
            </w:pPr>
            <w:r>
              <w:rPr>
                <w:b/>
                <w:color w:val="000000"/>
              </w:rPr>
              <w:t>SCI他引 次数</w:t>
            </w:r>
          </w:p>
        </w:tc>
        <w:tc>
          <w:tcPr>
            <w:tcW w:w="1239" w:type="dxa"/>
            <w:vAlign w:val="center"/>
          </w:tcPr>
          <w:p w14:paraId="46CDA693">
            <w:pPr>
              <w:adjustRightInd w:val="0"/>
              <w:snapToGrid w:val="0"/>
              <w:jc w:val="center"/>
              <w:rPr>
                <w:b/>
                <w:color w:val="000000"/>
              </w:rPr>
            </w:pPr>
            <w:r>
              <w:rPr>
                <w:b/>
                <w:color w:val="000000"/>
              </w:rPr>
              <w:t>是否国内完成</w:t>
            </w:r>
          </w:p>
        </w:tc>
      </w:tr>
      <w:tr w14:paraId="0E5B32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2" w:hRule="atLeast"/>
          <w:jc w:val="center"/>
        </w:trPr>
        <w:tc>
          <w:tcPr>
            <w:tcW w:w="748" w:type="dxa"/>
            <w:vAlign w:val="center"/>
          </w:tcPr>
          <w:p w14:paraId="518FCE9F">
            <w:pPr>
              <w:jc w:val="center"/>
              <w:rPr>
                <w:color w:val="000000"/>
              </w:rPr>
            </w:pPr>
            <w:r>
              <w:rPr>
                <w:rFonts w:ascii="宋体" w:hAnsi="宋体"/>
                <w:szCs w:val="21"/>
              </w:rPr>
              <w:t>1</w:t>
            </w:r>
          </w:p>
        </w:tc>
        <w:tc>
          <w:tcPr>
            <w:tcW w:w="3118" w:type="dxa"/>
            <w:vAlign w:val="center"/>
          </w:tcPr>
          <w:p w14:paraId="056043BB">
            <w:pPr>
              <w:jc w:val="center"/>
              <w:rPr>
                <w:rFonts w:ascii="Times New Roman" w:hAnsi="Times New Roman" w:cs="Times New Roman"/>
                <w:color w:val="000000"/>
              </w:rPr>
            </w:pPr>
            <w:r>
              <w:rPr>
                <w:rFonts w:ascii="Times New Roman" w:hAnsi="Times New Roman" w:cs="Times New Roman"/>
                <w:color w:val="000000"/>
              </w:rPr>
              <w:t>Mesozoic and Cenozoic tectono-thermal reconstruction of the western Bohai Bay Basin (East China) with implications for hydrocarbon generation and migration</w:t>
            </w:r>
          </w:p>
        </w:tc>
        <w:tc>
          <w:tcPr>
            <w:tcW w:w="1701" w:type="dxa"/>
            <w:vAlign w:val="center"/>
          </w:tcPr>
          <w:p w14:paraId="02A33A14">
            <w:pPr>
              <w:jc w:val="center"/>
              <w:rPr>
                <w:rFonts w:ascii="Times New Roman" w:hAnsi="Times New Roman" w:cs="Times New Roman"/>
                <w:color w:val="000000"/>
              </w:rPr>
            </w:pPr>
            <w:r>
              <w:rPr>
                <w:rFonts w:ascii="Times New Roman" w:hAnsi="Times New Roman" w:cs="Times New Roman"/>
                <w:color w:val="000000"/>
              </w:rPr>
              <w:t>JOURNAL OF ASIAN EARTH SCIENCES</w:t>
            </w:r>
          </w:p>
          <w:p w14:paraId="48D38CA3">
            <w:pPr>
              <w:jc w:val="center"/>
              <w:rPr>
                <w:rFonts w:ascii="Times New Roman" w:hAnsi="Times New Roman" w:cs="Times New Roman"/>
                <w:color w:val="000000"/>
              </w:rPr>
            </w:pPr>
          </w:p>
        </w:tc>
        <w:tc>
          <w:tcPr>
            <w:tcW w:w="1418" w:type="dxa"/>
            <w:vAlign w:val="center"/>
          </w:tcPr>
          <w:p w14:paraId="679BE4D3">
            <w:pPr>
              <w:jc w:val="center"/>
              <w:rPr>
                <w:rFonts w:ascii="Times New Roman" w:hAnsi="Times New Roman" w:cs="Times New Roman"/>
                <w:color w:val="000000"/>
              </w:rPr>
            </w:pPr>
            <w:r>
              <w:rPr>
                <w:rFonts w:ascii="Times New Roman" w:hAnsi="Times New Roman" w:cs="Times New Roman"/>
                <w:color w:val="000000"/>
              </w:rPr>
              <w:t>2018年7月1日</w:t>
            </w:r>
          </w:p>
        </w:tc>
        <w:tc>
          <w:tcPr>
            <w:tcW w:w="850" w:type="dxa"/>
            <w:vAlign w:val="center"/>
          </w:tcPr>
          <w:p w14:paraId="0B9ED184">
            <w:pPr>
              <w:jc w:val="center"/>
              <w:rPr>
                <w:rFonts w:ascii="Times New Roman" w:hAnsi="Times New Roman" w:cs="Times New Roman"/>
                <w:color w:val="000000"/>
              </w:rPr>
            </w:pPr>
            <w:r>
              <w:rPr>
                <w:rFonts w:ascii="Times New Roman" w:hAnsi="Times New Roman" w:cs="Times New Roman"/>
                <w:color w:val="000000"/>
              </w:rPr>
              <w:t>常健，邱楠生</w:t>
            </w:r>
          </w:p>
        </w:tc>
        <w:tc>
          <w:tcPr>
            <w:tcW w:w="941" w:type="dxa"/>
            <w:vAlign w:val="center"/>
          </w:tcPr>
          <w:p w14:paraId="6A7F50A9">
            <w:pPr>
              <w:jc w:val="center"/>
              <w:rPr>
                <w:rFonts w:ascii="Times New Roman" w:hAnsi="Times New Roman" w:cs="Times New Roman"/>
                <w:color w:val="000000"/>
              </w:rPr>
            </w:pPr>
            <w:r>
              <w:rPr>
                <w:rFonts w:ascii="Times New Roman" w:hAnsi="Times New Roman" w:cs="Times New Roman"/>
                <w:color w:val="000000"/>
              </w:rPr>
              <w:t>常健</w:t>
            </w:r>
          </w:p>
        </w:tc>
        <w:tc>
          <w:tcPr>
            <w:tcW w:w="1611" w:type="dxa"/>
            <w:vAlign w:val="center"/>
          </w:tcPr>
          <w:p w14:paraId="4A2621F9">
            <w:pPr>
              <w:jc w:val="center"/>
              <w:rPr>
                <w:rFonts w:ascii="Times New Roman" w:hAnsi="Times New Roman" w:cs="Times New Roman"/>
                <w:color w:val="000000"/>
              </w:rPr>
            </w:pPr>
            <w:r>
              <w:rPr>
                <w:rFonts w:ascii="Times New Roman" w:hAnsi="Times New Roman" w:cs="Times New Roman"/>
                <w:color w:val="000000"/>
              </w:rPr>
              <w:t>常健，邱楠生，赵贤正，沈芳宇，刘念，许威</w:t>
            </w:r>
          </w:p>
        </w:tc>
        <w:tc>
          <w:tcPr>
            <w:tcW w:w="1476" w:type="dxa"/>
            <w:vAlign w:val="center"/>
          </w:tcPr>
          <w:p w14:paraId="0F5F1404">
            <w:pPr>
              <w:jc w:val="center"/>
              <w:rPr>
                <w:rFonts w:ascii="Times New Roman" w:hAnsi="Times New Roman" w:cs="Times New Roman"/>
                <w:color w:val="000000"/>
              </w:rPr>
            </w:pPr>
            <w:r>
              <w:rPr>
                <w:rFonts w:ascii="Times New Roman" w:hAnsi="Times New Roman" w:cs="Times New Roman"/>
                <w:color w:val="000000"/>
              </w:rPr>
              <w:t>2018,160:380-395</w:t>
            </w:r>
          </w:p>
        </w:tc>
        <w:tc>
          <w:tcPr>
            <w:tcW w:w="748" w:type="dxa"/>
            <w:vAlign w:val="center"/>
          </w:tcPr>
          <w:p w14:paraId="5A3D512E">
            <w:pPr>
              <w:jc w:val="center"/>
              <w:rPr>
                <w:rFonts w:hint="default" w:ascii="Times New Roman" w:hAnsi="Times New Roman" w:cs="Times New Roman" w:eastAsiaTheme="minorEastAsia"/>
                <w:color w:val="000000"/>
                <w:lang w:val="en-US" w:eastAsia="zh-CN"/>
              </w:rPr>
            </w:pPr>
            <w:r>
              <w:rPr>
                <w:rFonts w:hint="eastAsia" w:ascii="Times New Roman" w:hAnsi="Times New Roman" w:cs="Times New Roman"/>
                <w:color w:val="000000"/>
                <w:lang w:val="en-US" w:eastAsia="zh-CN"/>
              </w:rPr>
              <w:t>50</w:t>
            </w:r>
          </w:p>
        </w:tc>
        <w:tc>
          <w:tcPr>
            <w:tcW w:w="1239" w:type="dxa"/>
            <w:vAlign w:val="center"/>
          </w:tcPr>
          <w:p w14:paraId="4898568D">
            <w:pPr>
              <w:jc w:val="center"/>
              <w:rPr>
                <w:rFonts w:ascii="Times New Roman" w:hAnsi="Times New Roman" w:cs="Times New Roman"/>
              </w:rPr>
            </w:pPr>
            <w:r>
              <w:rPr>
                <w:rFonts w:ascii="Times New Roman" w:hAnsi="Times New Roman" w:cs="Times New Roman"/>
              </w:rPr>
              <w:t>是</w:t>
            </w:r>
          </w:p>
        </w:tc>
      </w:tr>
      <w:tr w14:paraId="1B5139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2" w:hRule="atLeast"/>
          <w:jc w:val="center"/>
        </w:trPr>
        <w:tc>
          <w:tcPr>
            <w:tcW w:w="748" w:type="dxa"/>
            <w:vAlign w:val="center"/>
          </w:tcPr>
          <w:p w14:paraId="5DD54A32">
            <w:pPr>
              <w:jc w:val="center"/>
              <w:rPr>
                <w:color w:val="000000"/>
              </w:rPr>
            </w:pPr>
            <w:r>
              <w:rPr>
                <w:rFonts w:ascii="宋体" w:hAnsi="宋体"/>
                <w:szCs w:val="21"/>
              </w:rPr>
              <w:t>2</w:t>
            </w:r>
          </w:p>
        </w:tc>
        <w:tc>
          <w:tcPr>
            <w:tcW w:w="3118" w:type="dxa"/>
            <w:vAlign w:val="center"/>
          </w:tcPr>
          <w:p w14:paraId="398B1887">
            <w:pPr>
              <w:jc w:val="center"/>
              <w:rPr>
                <w:rFonts w:ascii="Times New Roman" w:hAnsi="Times New Roman" w:cs="Times New Roman"/>
                <w:color w:val="000000"/>
              </w:rPr>
            </w:pPr>
            <w:r>
              <w:rPr>
                <w:rFonts w:ascii="Times New Roman" w:hAnsi="Times New Roman" w:cs="Times New Roman"/>
                <w:color w:val="000000"/>
              </w:rPr>
              <w:t>An appraisal of the ages of Phanerozoic large igneous provinces</w:t>
            </w:r>
          </w:p>
        </w:tc>
        <w:tc>
          <w:tcPr>
            <w:tcW w:w="1701" w:type="dxa"/>
            <w:vAlign w:val="center"/>
          </w:tcPr>
          <w:p w14:paraId="67736749">
            <w:pPr>
              <w:jc w:val="center"/>
              <w:rPr>
                <w:rFonts w:ascii="Times New Roman" w:hAnsi="Times New Roman" w:cs="Times New Roman"/>
                <w:color w:val="000000"/>
              </w:rPr>
            </w:pPr>
            <w:r>
              <w:rPr>
                <w:rFonts w:ascii="Times New Roman" w:hAnsi="Times New Roman" w:cs="Times New Roman"/>
                <w:color w:val="000000"/>
              </w:rPr>
              <w:t>EARTH-SCIENCE REVIEWS</w:t>
            </w:r>
          </w:p>
        </w:tc>
        <w:tc>
          <w:tcPr>
            <w:tcW w:w="1418" w:type="dxa"/>
            <w:vAlign w:val="center"/>
          </w:tcPr>
          <w:p w14:paraId="58AEF0A1">
            <w:pPr>
              <w:jc w:val="center"/>
              <w:rPr>
                <w:rFonts w:ascii="Times New Roman" w:hAnsi="Times New Roman" w:cs="Times New Roman"/>
                <w:color w:val="000000"/>
              </w:rPr>
            </w:pPr>
            <w:r>
              <w:rPr>
                <w:rFonts w:ascii="Times New Roman" w:hAnsi="Times New Roman" w:cs="Times New Roman"/>
                <w:color w:val="000000"/>
              </w:rPr>
              <w:t>2023年2月1日</w:t>
            </w:r>
          </w:p>
        </w:tc>
        <w:tc>
          <w:tcPr>
            <w:tcW w:w="850" w:type="dxa"/>
            <w:vAlign w:val="center"/>
          </w:tcPr>
          <w:p w14:paraId="058F93AD">
            <w:pPr>
              <w:jc w:val="center"/>
              <w:rPr>
                <w:rFonts w:ascii="Times New Roman" w:hAnsi="Times New Roman" w:cs="Times New Roman"/>
                <w:color w:val="000000"/>
              </w:rPr>
            </w:pPr>
            <w:r>
              <w:rPr>
                <w:rFonts w:ascii="Times New Roman" w:hAnsi="Times New Roman" w:cs="Times New Roman"/>
                <w:color w:val="000000"/>
              </w:rPr>
              <w:t>江强</w:t>
            </w:r>
          </w:p>
        </w:tc>
        <w:tc>
          <w:tcPr>
            <w:tcW w:w="941" w:type="dxa"/>
            <w:vAlign w:val="center"/>
          </w:tcPr>
          <w:p w14:paraId="55769A83">
            <w:pPr>
              <w:jc w:val="center"/>
              <w:rPr>
                <w:rFonts w:ascii="Times New Roman" w:hAnsi="Times New Roman" w:cs="Times New Roman"/>
                <w:color w:val="000000"/>
              </w:rPr>
            </w:pPr>
            <w:r>
              <w:rPr>
                <w:rFonts w:ascii="Times New Roman" w:hAnsi="Times New Roman" w:cs="Times New Roman"/>
                <w:color w:val="000000"/>
              </w:rPr>
              <w:t>江强</w:t>
            </w:r>
          </w:p>
        </w:tc>
        <w:tc>
          <w:tcPr>
            <w:tcW w:w="1611" w:type="dxa"/>
            <w:vAlign w:val="center"/>
          </w:tcPr>
          <w:p w14:paraId="7EAAEDA9">
            <w:pPr>
              <w:jc w:val="center"/>
              <w:rPr>
                <w:rFonts w:ascii="Times New Roman" w:hAnsi="Times New Roman" w:cs="Times New Roman"/>
                <w:color w:val="000000"/>
              </w:rPr>
            </w:pPr>
            <w:r>
              <w:rPr>
                <w:rFonts w:ascii="Times New Roman" w:hAnsi="Times New Roman" w:cs="Times New Roman"/>
                <w:color w:val="000000"/>
              </w:rPr>
              <w:t>江强，Fred Jourdan, Hugo K.H. Olierook, Renaud E. Merle</w:t>
            </w:r>
          </w:p>
        </w:tc>
        <w:tc>
          <w:tcPr>
            <w:tcW w:w="1476" w:type="dxa"/>
            <w:vAlign w:val="center"/>
          </w:tcPr>
          <w:p w14:paraId="640553E6">
            <w:pPr>
              <w:jc w:val="center"/>
              <w:rPr>
                <w:rFonts w:ascii="Times New Roman" w:hAnsi="Times New Roman" w:cs="Times New Roman"/>
                <w:color w:val="000000"/>
              </w:rPr>
            </w:pPr>
            <w:r>
              <w:rPr>
                <w:rFonts w:ascii="Times New Roman" w:hAnsi="Times New Roman" w:cs="Times New Roman"/>
                <w:color w:val="000000"/>
              </w:rPr>
              <w:t>2023, 237: 104314</w:t>
            </w:r>
          </w:p>
        </w:tc>
        <w:tc>
          <w:tcPr>
            <w:tcW w:w="748" w:type="dxa"/>
            <w:vAlign w:val="center"/>
          </w:tcPr>
          <w:p w14:paraId="18346646">
            <w:pPr>
              <w:jc w:val="center"/>
              <w:rPr>
                <w:rFonts w:ascii="Times New Roman" w:hAnsi="Times New Roman" w:cs="Times New Roman"/>
                <w:color w:val="000000"/>
              </w:rPr>
            </w:pPr>
            <w:r>
              <w:rPr>
                <w:rFonts w:ascii="Times New Roman" w:hAnsi="Times New Roman" w:cs="Times New Roman"/>
                <w:color w:val="000000"/>
              </w:rPr>
              <w:t>26</w:t>
            </w:r>
          </w:p>
        </w:tc>
        <w:tc>
          <w:tcPr>
            <w:tcW w:w="1239" w:type="dxa"/>
            <w:vAlign w:val="center"/>
          </w:tcPr>
          <w:p w14:paraId="58B8AF0C">
            <w:pPr>
              <w:jc w:val="center"/>
              <w:rPr>
                <w:rFonts w:ascii="Times New Roman" w:hAnsi="Times New Roman" w:cs="Times New Roman"/>
              </w:rPr>
            </w:pPr>
            <w:r>
              <w:rPr>
                <w:rFonts w:ascii="Times New Roman" w:hAnsi="Times New Roman" w:cs="Times New Roman"/>
              </w:rPr>
              <w:t>是</w:t>
            </w:r>
          </w:p>
        </w:tc>
      </w:tr>
      <w:tr w14:paraId="3FB9C3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2" w:hRule="atLeast"/>
          <w:jc w:val="center"/>
        </w:trPr>
        <w:tc>
          <w:tcPr>
            <w:tcW w:w="748" w:type="dxa"/>
            <w:vAlign w:val="center"/>
          </w:tcPr>
          <w:p w14:paraId="5718713F">
            <w:pPr>
              <w:jc w:val="center"/>
              <w:rPr>
                <w:color w:val="000000"/>
              </w:rPr>
            </w:pPr>
            <w:r>
              <w:rPr>
                <w:rFonts w:ascii="宋体" w:hAnsi="宋体"/>
                <w:szCs w:val="21"/>
              </w:rPr>
              <w:t>3</w:t>
            </w:r>
          </w:p>
        </w:tc>
        <w:tc>
          <w:tcPr>
            <w:tcW w:w="3118" w:type="dxa"/>
            <w:vAlign w:val="center"/>
          </w:tcPr>
          <w:p w14:paraId="3084DD1E">
            <w:pPr>
              <w:jc w:val="center"/>
              <w:rPr>
                <w:rFonts w:ascii="Times New Roman" w:hAnsi="Times New Roman" w:cs="Times New Roman"/>
                <w:color w:val="000000"/>
              </w:rPr>
            </w:pPr>
            <w:r>
              <w:rPr>
                <w:rFonts w:ascii="Times New Roman" w:hAnsi="Times New Roman" w:cs="Times New Roman"/>
                <w:color w:val="000000"/>
              </w:rPr>
              <w:t>Post-orogenic evolution of the Mesozoic Micang Shan Foreland Basin system, central China</w:t>
            </w:r>
          </w:p>
        </w:tc>
        <w:tc>
          <w:tcPr>
            <w:tcW w:w="1701" w:type="dxa"/>
            <w:vAlign w:val="center"/>
          </w:tcPr>
          <w:p w14:paraId="29CD2365">
            <w:pPr>
              <w:jc w:val="center"/>
              <w:rPr>
                <w:rFonts w:ascii="Times New Roman" w:hAnsi="Times New Roman" w:cs="Times New Roman"/>
                <w:color w:val="000000"/>
              </w:rPr>
            </w:pPr>
            <w:r>
              <w:rPr>
                <w:rFonts w:ascii="Times New Roman" w:hAnsi="Times New Roman" w:cs="Times New Roman"/>
                <w:color w:val="000000"/>
              </w:rPr>
              <w:t>BASIN RESEARCH</w:t>
            </w:r>
          </w:p>
        </w:tc>
        <w:tc>
          <w:tcPr>
            <w:tcW w:w="1418" w:type="dxa"/>
            <w:vAlign w:val="center"/>
          </w:tcPr>
          <w:p w14:paraId="1F61B343">
            <w:pPr>
              <w:jc w:val="center"/>
              <w:rPr>
                <w:rFonts w:ascii="Times New Roman" w:hAnsi="Times New Roman" w:cs="Times New Roman"/>
                <w:color w:val="000000"/>
              </w:rPr>
            </w:pPr>
            <w:r>
              <w:rPr>
                <w:rFonts w:ascii="Times New Roman" w:hAnsi="Times New Roman" w:cs="Times New Roman"/>
                <w:color w:val="000000"/>
              </w:rPr>
              <w:t>2012年2月1日</w:t>
            </w:r>
          </w:p>
        </w:tc>
        <w:tc>
          <w:tcPr>
            <w:tcW w:w="850" w:type="dxa"/>
            <w:vAlign w:val="center"/>
          </w:tcPr>
          <w:p w14:paraId="32A4ACD9">
            <w:pPr>
              <w:jc w:val="center"/>
              <w:rPr>
                <w:rFonts w:ascii="Times New Roman" w:hAnsi="Times New Roman" w:cs="Times New Roman"/>
                <w:color w:val="000000"/>
              </w:rPr>
            </w:pPr>
            <w:r>
              <w:rPr>
                <w:rFonts w:ascii="Times New Roman" w:hAnsi="Times New Roman" w:cs="Times New Roman"/>
                <w:color w:val="000000"/>
              </w:rPr>
              <w:t>田云涛</w:t>
            </w:r>
          </w:p>
        </w:tc>
        <w:tc>
          <w:tcPr>
            <w:tcW w:w="941" w:type="dxa"/>
            <w:vAlign w:val="center"/>
          </w:tcPr>
          <w:p w14:paraId="5B341EE2">
            <w:pPr>
              <w:jc w:val="center"/>
              <w:rPr>
                <w:rFonts w:ascii="Times New Roman" w:hAnsi="Times New Roman" w:cs="Times New Roman"/>
                <w:color w:val="000000"/>
              </w:rPr>
            </w:pPr>
            <w:r>
              <w:rPr>
                <w:rFonts w:ascii="Times New Roman" w:hAnsi="Times New Roman" w:cs="Times New Roman"/>
                <w:color w:val="000000"/>
              </w:rPr>
              <w:t>田云涛</w:t>
            </w:r>
          </w:p>
        </w:tc>
        <w:tc>
          <w:tcPr>
            <w:tcW w:w="1611" w:type="dxa"/>
            <w:vAlign w:val="center"/>
          </w:tcPr>
          <w:p w14:paraId="2C88D227">
            <w:pPr>
              <w:jc w:val="center"/>
              <w:rPr>
                <w:rFonts w:ascii="Times New Roman" w:hAnsi="Times New Roman" w:cs="Times New Roman"/>
                <w:color w:val="000000"/>
              </w:rPr>
            </w:pPr>
            <w:r>
              <w:rPr>
                <w:rFonts w:ascii="Times New Roman" w:hAnsi="Times New Roman" w:cs="Times New Roman"/>
                <w:color w:val="000000"/>
              </w:rPr>
              <w:t>田云涛，Barry P. Kohn，朱传庆，徐明，胡圣标，Andrew J.W. Gleadow</w:t>
            </w:r>
          </w:p>
        </w:tc>
        <w:tc>
          <w:tcPr>
            <w:tcW w:w="1476" w:type="dxa"/>
            <w:vAlign w:val="center"/>
          </w:tcPr>
          <w:p w14:paraId="48CFC58C">
            <w:pPr>
              <w:jc w:val="center"/>
              <w:rPr>
                <w:rFonts w:ascii="Times New Roman" w:hAnsi="Times New Roman" w:cs="Times New Roman"/>
                <w:color w:val="000000"/>
              </w:rPr>
            </w:pPr>
            <w:r>
              <w:rPr>
                <w:rFonts w:ascii="Times New Roman" w:hAnsi="Times New Roman" w:cs="Times New Roman"/>
                <w:color w:val="000000"/>
              </w:rPr>
              <w:t>2012, 24(1):70-90</w:t>
            </w:r>
          </w:p>
        </w:tc>
        <w:tc>
          <w:tcPr>
            <w:tcW w:w="748" w:type="dxa"/>
            <w:vAlign w:val="center"/>
          </w:tcPr>
          <w:p w14:paraId="2DBCBE95">
            <w:pPr>
              <w:jc w:val="center"/>
              <w:rPr>
                <w:rFonts w:ascii="Times New Roman" w:hAnsi="Times New Roman" w:cs="Times New Roman"/>
                <w:color w:val="000000"/>
              </w:rPr>
            </w:pPr>
            <w:r>
              <w:rPr>
                <w:rFonts w:ascii="Times New Roman" w:hAnsi="Times New Roman" w:cs="Times New Roman"/>
                <w:color w:val="000000"/>
              </w:rPr>
              <w:t>51</w:t>
            </w:r>
          </w:p>
        </w:tc>
        <w:tc>
          <w:tcPr>
            <w:tcW w:w="1239" w:type="dxa"/>
            <w:vAlign w:val="center"/>
          </w:tcPr>
          <w:p w14:paraId="343868D6">
            <w:pPr>
              <w:jc w:val="center"/>
              <w:rPr>
                <w:rFonts w:ascii="Times New Roman" w:hAnsi="Times New Roman" w:cs="Times New Roman"/>
              </w:rPr>
            </w:pPr>
            <w:r>
              <w:rPr>
                <w:rFonts w:ascii="Times New Roman" w:hAnsi="Times New Roman" w:cs="Times New Roman"/>
              </w:rPr>
              <w:t>是</w:t>
            </w:r>
          </w:p>
        </w:tc>
      </w:tr>
      <w:tr w14:paraId="4DF6E6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2" w:hRule="atLeast"/>
          <w:jc w:val="center"/>
        </w:trPr>
        <w:tc>
          <w:tcPr>
            <w:tcW w:w="748" w:type="dxa"/>
            <w:vAlign w:val="center"/>
          </w:tcPr>
          <w:p w14:paraId="65FE026E">
            <w:pPr>
              <w:jc w:val="center"/>
              <w:rPr>
                <w:color w:val="000000"/>
              </w:rPr>
            </w:pPr>
            <w:r>
              <w:rPr>
                <w:rFonts w:ascii="宋体" w:hAnsi="宋体"/>
                <w:szCs w:val="21"/>
              </w:rPr>
              <w:t>4</w:t>
            </w:r>
          </w:p>
        </w:tc>
        <w:tc>
          <w:tcPr>
            <w:tcW w:w="3118" w:type="dxa"/>
            <w:vAlign w:val="center"/>
          </w:tcPr>
          <w:p w14:paraId="606D8349">
            <w:pPr>
              <w:jc w:val="center"/>
              <w:rPr>
                <w:rFonts w:hint="default" w:ascii="Times New Roman" w:hAnsi="Times New Roman" w:cs="Times New Roman" w:eastAsiaTheme="minorEastAsia"/>
                <w:color w:val="000000"/>
                <w:lang w:val="en-US" w:eastAsia="zh-CN"/>
              </w:rPr>
            </w:pPr>
            <w:r>
              <w:rPr>
                <w:rFonts w:hint="eastAsia" w:ascii="Times New Roman" w:hAnsi="Times New Roman" w:cs="Times New Roman"/>
                <w:color w:val="000000"/>
                <w:lang w:val="en-US" w:eastAsia="zh-CN"/>
              </w:rPr>
              <w:t>Geothermal evidence of Meso-Cenozoic lithosphere thinning in the Jiyang sub-basin, Bohai Bay Basin, eastern North China Craton</w:t>
            </w:r>
          </w:p>
        </w:tc>
        <w:tc>
          <w:tcPr>
            <w:tcW w:w="1701" w:type="dxa"/>
            <w:vAlign w:val="center"/>
          </w:tcPr>
          <w:p w14:paraId="6E10F122">
            <w:pPr>
              <w:jc w:val="center"/>
              <w:rPr>
                <w:rFonts w:hint="default" w:ascii="Times New Roman" w:hAnsi="Times New Roman" w:cs="Times New Roman" w:eastAsiaTheme="minorEastAsia"/>
                <w:color w:val="000000"/>
                <w:lang w:val="en-US" w:eastAsia="zh-CN"/>
              </w:rPr>
            </w:pPr>
            <w:r>
              <w:rPr>
                <w:rFonts w:hint="eastAsia" w:ascii="Times New Roman" w:hAnsi="Times New Roman" w:cs="Times New Roman"/>
                <w:color w:val="000000"/>
                <w:lang w:val="en-US" w:eastAsia="zh-CN"/>
              </w:rPr>
              <w:t>Gondwana Research</w:t>
            </w:r>
          </w:p>
        </w:tc>
        <w:tc>
          <w:tcPr>
            <w:tcW w:w="1418" w:type="dxa"/>
            <w:vAlign w:val="center"/>
          </w:tcPr>
          <w:p w14:paraId="455C143D">
            <w:pPr>
              <w:jc w:val="center"/>
              <w:rPr>
                <w:rFonts w:ascii="Times New Roman" w:hAnsi="Times New Roman" w:cs="Times New Roman"/>
                <w:color w:val="000000"/>
              </w:rPr>
            </w:pPr>
            <w:r>
              <w:rPr>
                <w:rFonts w:ascii="Times New Roman" w:hAnsi="Times New Roman" w:cs="Times New Roman"/>
                <w:color w:val="000000"/>
              </w:rPr>
              <w:t>201</w:t>
            </w:r>
            <w:r>
              <w:rPr>
                <w:rFonts w:hint="eastAsia" w:ascii="Times New Roman" w:hAnsi="Times New Roman" w:cs="Times New Roman"/>
                <w:color w:val="000000"/>
                <w:lang w:val="en-US" w:eastAsia="zh-CN"/>
              </w:rPr>
              <w:t>4</w:t>
            </w:r>
            <w:r>
              <w:rPr>
                <w:rFonts w:ascii="Times New Roman" w:hAnsi="Times New Roman" w:cs="Times New Roman"/>
                <w:color w:val="000000"/>
              </w:rPr>
              <w:t>年</w:t>
            </w:r>
            <w:r>
              <w:rPr>
                <w:rFonts w:hint="eastAsia" w:ascii="Times New Roman" w:hAnsi="Times New Roman" w:cs="Times New Roman"/>
                <w:color w:val="000000"/>
                <w:lang w:val="en-US" w:eastAsia="zh-CN"/>
              </w:rPr>
              <w:t>11</w:t>
            </w:r>
            <w:r>
              <w:rPr>
                <w:rFonts w:ascii="Times New Roman" w:hAnsi="Times New Roman" w:cs="Times New Roman"/>
                <w:color w:val="000000"/>
              </w:rPr>
              <w:t>月1日</w:t>
            </w:r>
          </w:p>
        </w:tc>
        <w:tc>
          <w:tcPr>
            <w:tcW w:w="850" w:type="dxa"/>
            <w:vAlign w:val="center"/>
          </w:tcPr>
          <w:p w14:paraId="44A439C0">
            <w:pPr>
              <w:jc w:val="center"/>
              <w:rPr>
                <w:rFonts w:ascii="Times New Roman" w:hAnsi="Times New Roman" w:cs="Times New Roman"/>
                <w:color w:val="000000"/>
              </w:rPr>
            </w:pPr>
            <w:r>
              <w:rPr>
                <w:rFonts w:ascii="Times New Roman" w:hAnsi="Times New Roman" w:cs="Times New Roman"/>
                <w:color w:val="000000"/>
              </w:rPr>
              <w:t>邱楠生</w:t>
            </w:r>
          </w:p>
        </w:tc>
        <w:tc>
          <w:tcPr>
            <w:tcW w:w="941" w:type="dxa"/>
            <w:vAlign w:val="center"/>
          </w:tcPr>
          <w:p w14:paraId="3E40634A">
            <w:pPr>
              <w:jc w:val="center"/>
              <w:rPr>
                <w:rFonts w:ascii="Times New Roman" w:hAnsi="Times New Roman" w:cs="Times New Roman"/>
                <w:color w:val="000000"/>
              </w:rPr>
            </w:pPr>
            <w:r>
              <w:rPr>
                <w:rFonts w:ascii="Times New Roman" w:hAnsi="Times New Roman" w:cs="Times New Roman"/>
                <w:color w:val="000000"/>
              </w:rPr>
              <w:t>邱楠生</w:t>
            </w:r>
          </w:p>
        </w:tc>
        <w:tc>
          <w:tcPr>
            <w:tcW w:w="1611" w:type="dxa"/>
            <w:vAlign w:val="center"/>
          </w:tcPr>
          <w:p w14:paraId="12FD5562">
            <w:pPr>
              <w:jc w:val="center"/>
              <w:rPr>
                <w:rFonts w:hint="default" w:ascii="Times New Roman" w:hAnsi="Times New Roman" w:cs="Times New Roman"/>
                <w:color w:val="000000"/>
                <w:lang w:val="en-US"/>
              </w:rPr>
            </w:pPr>
            <w:r>
              <w:rPr>
                <w:rFonts w:ascii="Times New Roman" w:hAnsi="Times New Roman" w:cs="Times New Roman"/>
                <w:color w:val="000000"/>
              </w:rPr>
              <w:t>邱楠生，左银辉，</w:t>
            </w:r>
            <w:r>
              <w:rPr>
                <w:rFonts w:hint="eastAsia" w:ascii="Times New Roman" w:hAnsi="Times New Roman" w:cs="Times New Roman"/>
                <w:color w:val="000000"/>
                <w:lang w:val="en-US" w:eastAsia="zh-CN"/>
              </w:rPr>
              <w:t>常健，李文正</w:t>
            </w:r>
          </w:p>
        </w:tc>
        <w:tc>
          <w:tcPr>
            <w:tcW w:w="1476" w:type="dxa"/>
            <w:vAlign w:val="center"/>
          </w:tcPr>
          <w:p w14:paraId="5FBCF174">
            <w:pPr>
              <w:jc w:val="center"/>
              <w:rPr>
                <w:rFonts w:hint="default" w:ascii="Times New Roman" w:hAnsi="Times New Roman" w:cs="Times New Roman" w:eastAsiaTheme="minorEastAsia"/>
                <w:color w:val="000000"/>
                <w:lang w:val="en-US" w:eastAsia="zh-CN"/>
              </w:rPr>
            </w:pPr>
            <w:r>
              <w:rPr>
                <w:rFonts w:ascii="Times New Roman" w:hAnsi="Times New Roman" w:cs="Times New Roman"/>
                <w:color w:val="000000"/>
              </w:rPr>
              <w:t>201</w:t>
            </w:r>
            <w:r>
              <w:rPr>
                <w:rFonts w:hint="eastAsia" w:ascii="Times New Roman" w:hAnsi="Times New Roman" w:cs="Times New Roman"/>
                <w:color w:val="000000"/>
                <w:lang w:val="en-US" w:eastAsia="zh-CN"/>
              </w:rPr>
              <w:t>4</w:t>
            </w:r>
            <w:r>
              <w:rPr>
                <w:rFonts w:ascii="Times New Roman" w:hAnsi="Times New Roman" w:cs="Times New Roman"/>
                <w:color w:val="000000"/>
              </w:rPr>
              <w:t>,</w:t>
            </w:r>
            <w:r>
              <w:rPr>
                <w:rFonts w:hint="eastAsia" w:ascii="Times New Roman" w:hAnsi="Times New Roman" w:cs="Times New Roman"/>
                <w:color w:val="000000"/>
                <w:lang w:val="en-US" w:eastAsia="zh-CN"/>
              </w:rPr>
              <w:t>26</w:t>
            </w:r>
            <w:r>
              <w:rPr>
                <w:rFonts w:ascii="Times New Roman" w:hAnsi="Times New Roman" w:cs="Times New Roman"/>
                <w:color w:val="000000"/>
              </w:rPr>
              <w:t>(</w:t>
            </w:r>
            <w:r>
              <w:rPr>
                <w:rFonts w:hint="eastAsia" w:ascii="Times New Roman" w:hAnsi="Times New Roman" w:cs="Times New Roman"/>
                <w:color w:val="000000"/>
                <w:lang w:val="en-US" w:eastAsia="zh-CN"/>
              </w:rPr>
              <w:t>3-4</w:t>
            </w:r>
            <w:r>
              <w:rPr>
                <w:rFonts w:ascii="Times New Roman" w:hAnsi="Times New Roman" w:cs="Times New Roman"/>
                <w:color w:val="000000"/>
              </w:rPr>
              <w:t xml:space="preserve">): </w:t>
            </w:r>
            <w:r>
              <w:rPr>
                <w:rFonts w:hint="eastAsia" w:ascii="Times New Roman" w:hAnsi="Times New Roman" w:cs="Times New Roman"/>
                <w:color w:val="000000"/>
                <w:lang w:val="en-US" w:eastAsia="zh-CN"/>
              </w:rPr>
              <w:t>1079</w:t>
            </w:r>
            <w:r>
              <w:rPr>
                <w:rFonts w:ascii="Times New Roman" w:hAnsi="Times New Roman" w:cs="Times New Roman"/>
                <w:color w:val="000000"/>
              </w:rPr>
              <w:t>-</w:t>
            </w:r>
            <w:r>
              <w:rPr>
                <w:rFonts w:hint="eastAsia" w:ascii="Times New Roman" w:hAnsi="Times New Roman" w:cs="Times New Roman"/>
                <w:color w:val="000000"/>
                <w:lang w:val="en-US" w:eastAsia="zh-CN"/>
              </w:rPr>
              <w:t>1092</w:t>
            </w:r>
          </w:p>
        </w:tc>
        <w:tc>
          <w:tcPr>
            <w:tcW w:w="748" w:type="dxa"/>
            <w:vAlign w:val="center"/>
          </w:tcPr>
          <w:p w14:paraId="302F13D7">
            <w:pPr>
              <w:jc w:val="center"/>
              <w:rPr>
                <w:rFonts w:hint="default" w:ascii="Times New Roman" w:hAnsi="Times New Roman" w:cs="Times New Roman" w:eastAsiaTheme="minorEastAsia"/>
                <w:color w:val="000000"/>
                <w:lang w:val="en-US" w:eastAsia="zh-CN"/>
              </w:rPr>
            </w:pPr>
            <w:r>
              <w:rPr>
                <w:rFonts w:hint="eastAsia" w:ascii="Times New Roman" w:hAnsi="Times New Roman" w:cs="Times New Roman"/>
                <w:color w:val="000000"/>
                <w:lang w:val="en-US" w:eastAsia="zh-CN"/>
              </w:rPr>
              <w:t>55</w:t>
            </w:r>
          </w:p>
        </w:tc>
        <w:tc>
          <w:tcPr>
            <w:tcW w:w="1239" w:type="dxa"/>
            <w:vAlign w:val="center"/>
          </w:tcPr>
          <w:p w14:paraId="66A9742A">
            <w:pPr>
              <w:jc w:val="center"/>
              <w:rPr>
                <w:rFonts w:ascii="Times New Roman" w:hAnsi="Times New Roman" w:cs="Times New Roman"/>
              </w:rPr>
            </w:pPr>
            <w:r>
              <w:rPr>
                <w:rFonts w:ascii="Times New Roman" w:hAnsi="Times New Roman" w:cs="Times New Roman"/>
              </w:rPr>
              <w:t>是</w:t>
            </w:r>
          </w:p>
        </w:tc>
      </w:tr>
      <w:tr w14:paraId="6F7A45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2" w:hRule="atLeast"/>
          <w:jc w:val="center"/>
        </w:trPr>
        <w:tc>
          <w:tcPr>
            <w:tcW w:w="748" w:type="dxa"/>
            <w:vAlign w:val="center"/>
          </w:tcPr>
          <w:p w14:paraId="07FFD8DE">
            <w:pPr>
              <w:jc w:val="center"/>
              <w:rPr>
                <w:color w:val="000000"/>
              </w:rPr>
            </w:pPr>
            <w:r>
              <w:rPr>
                <w:rFonts w:ascii="宋体" w:hAnsi="宋体"/>
                <w:szCs w:val="21"/>
              </w:rPr>
              <w:t>5</w:t>
            </w:r>
          </w:p>
        </w:tc>
        <w:tc>
          <w:tcPr>
            <w:tcW w:w="3118" w:type="dxa"/>
            <w:vAlign w:val="center"/>
          </w:tcPr>
          <w:p w14:paraId="52D2DC99">
            <w:pPr>
              <w:jc w:val="center"/>
              <w:rPr>
                <w:rFonts w:ascii="Times New Roman" w:hAnsi="Times New Roman" w:cs="Times New Roman"/>
                <w:color w:val="000000"/>
              </w:rPr>
            </w:pPr>
            <w:r>
              <w:rPr>
                <w:rFonts w:ascii="Times New Roman" w:hAnsi="Times New Roman" w:cs="Times New Roman"/>
                <w:color w:val="000000"/>
              </w:rPr>
              <w:t>Late mesozoic volcanism in the Great Xing'an range (NE China): Timing and implications for the dynamic setting of NE Asia</w:t>
            </w:r>
          </w:p>
        </w:tc>
        <w:tc>
          <w:tcPr>
            <w:tcW w:w="1701" w:type="dxa"/>
            <w:vAlign w:val="center"/>
          </w:tcPr>
          <w:p w14:paraId="552498A6">
            <w:pPr>
              <w:jc w:val="center"/>
              <w:rPr>
                <w:rFonts w:ascii="Times New Roman" w:hAnsi="Times New Roman" w:cs="Times New Roman"/>
                <w:color w:val="000000"/>
              </w:rPr>
            </w:pPr>
            <w:r>
              <w:rPr>
                <w:rFonts w:ascii="Times New Roman" w:hAnsi="Times New Roman" w:cs="Times New Roman"/>
                <w:color w:val="000000"/>
              </w:rPr>
              <w:t>EARTH AND PLANETARY SCIENCE LETTERS</w:t>
            </w:r>
          </w:p>
        </w:tc>
        <w:tc>
          <w:tcPr>
            <w:tcW w:w="1418" w:type="dxa"/>
            <w:vAlign w:val="center"/>
          </w:tcPr>
          <w:p w14:paraId="7E318967">
            <w:pPr>
              <w:jc w:val="center"/>
              <w:rPr>
                <w:rFonts w:ascii="Times New Roman" w:hAnsi="Times New Roman" w:cs="Times New Roman"/>
                <w:color w:val="000000"/>
              </w:rPr>
            </w:pPr>
            <w:r>
              <w:rPr>
                <w:rFonts w:ascii="Times New Roman" w:hAnsi="Times New Roman" w:cs="Times New Roman"/>
                <w:color w:val="000000"/>
              </w:rPr>
              <w:t>2006年11月15日</w:t>
            </w:r>
          </w:p>
        </w:tc>
        <w:tc>
          <w:tcPr>
            <w:tcW w:w="850" w:type="dxa"/>
            <w:vAlign w:val="center"/>
          </w:tcPr>
          <w:p w14:paraId="702E80A4">
            <w:pPr>
              <w:jc w:val="center"/>
              <w:rPr>
                <w:rFonts w:ascii="Times New Roman" w:hAnsi="Times New Roman" w:cs="Times New Roman"/>
                <w:color w:val="000000"/>
              </w:rPr>
            </w:pPr>
            <w:r>
              <w:rPr>
                <w:rFonts w:ascii="Times New Roman" w:hAnsi="Times New Roman" w:cs="Times New Roman"/>
                <w:color w:val="000000"/>
              </w:rPr>
              <w:t>王非</w:t>
            </w:r>
          </w:p>
        </w:tc>
        <w:tc>
          <w:tcPr>
            <w:tcW w:w="941" w:type="dxa"/>
            <w:vAlign w:val="center"/>
          </w:tcPr>
          <w:p w14:paraId="58FB1A0B">
            <w:pPr>
              <w:jc w:val="center"/>
              <w:rPr>
                <w:rFonts w:ascii="Times New Roman" w:hAnsi="Times New Roman" w:cs="Times New Roman"/>
                <w:color w:val="000000"/>
              </w:rPr>
            </w:pPr>
            <w:r>
              <w:rPr>
                <w:rFonts w:ascii="Times New Roman" w:hAnsi="Times New Roman" w:cs="Times New Roman"/>
                <w:color w:val="000000"/>
              </w:rPr>
              <w:t>王非</w:t>
            </w:r>
          </w:p>
        </w:tc>
        <w:tc>
          <w:tcPr>
            <w:tcW w:w="1611" w:type="dxa"/>
            <w:vAlign w:val="center"/>
          </w:tcPr>
          <w:p w14:paraId="66EF864F">
            <w:pPr>
              <w:jc w:val="center"/>
              <w:rPr>
                <w:rFonts w:ascii="Times New Roman" w:hAnsi="Times New Roman" w:cs="Times New Roman"/>
                <w:color w:val="000000"/>
              </w:rPr>
            </w:pPr>
            <w:r>
              <w:rPr>
                <w:rFonts w:ascii="Times New Roman" w:hAnsi="Times New Roman" w:cs="Times New Roman"/>
                <w:color w:val="000000"/>
              </w:rPr>
              <w:t>王非，周新华，张连昌，英基丰，张育涛，吴福元，朱日祥</w:t>
            </w:r>
          </w:p>
        </w:tc>
        <w:tc>
          <w:tcPr>
            <w:tcW w:w="1476" w:type="dxa"/>
            <w:vAlign w:val="center"/>
          </w:tcPr>
          <w:p w14:paraId="0AA16C3D">
            <w:pPr>
              <w:jc w:val="center"/>
              <w:rPr>
                <w:rFonts w:ascii="Times New Roman" w:hAnsi="Times New Roman" w:cs="Times New Roman"/>
                <w:color w:val="000000"/>
              </w:rPr>
            </w:pPr>
            <w:r>
              <w:rPr>
                <w:rFonts w:ascii="Times New Roman" w:hAnsi="Times New Roman" w:cs="Times New Roman"/>
                <w:color w:val="000000"/>
              </w:rPr>
              <w:t>2006,251(1-2)：179-198</w:t>
            </w:r>
          </w:p>
        </w:tc>
        <w:tc>
          <w:tcPr>
            <w:tcW w:w="748" w:type="dxa"/>
            <w:vAlign w:val="center"/>
          </w:tcPr>
          <w:p w14:paraId="05B1D7DD">
            <w:pPr>
              <w:jc w:val="center"/>
              <w:rPr>
                <w:rFonts w:ascii="Times New Roman" w:hAnsi="Times New Roman" w:cs="Times New Roman"/>
                <w:color w:val="000000"/>
              </w:rPr>
            </w:pPr>
            <w:r>
              <w:rPr>
                <w:rFonts w:ascii="Times New Roman" w:hAnsi="Times New Roman" w:cs="Times New Roman"/>
                <w:color w:val="000000"/>
              </w:rPr>
              <w:t>490</w:t>
            </w:r>
          </w:p>
        </w:tc>
        <w:tc>
          <w:tcPr>
            <w:tcW w:w="1239" w:type="dxa"/>
            <w:vAlign w:val="center"/>
          </w:tcPr>
          <w:p w14:paraId="3D6228E5">
            <w:pPr>
              <w:jc w:val="center"/>
              <w:rPr>
                <w:rFonts w:ascii="Times New Roman" w:hAnsi="Times New Roman" w:cs="Times New Roman"/>
              </w:rPr>
            </w:pPr>
            <w:r>
              <w:rPr>
                <w:rFonts w:ascii="Times New Roman" w:hAnsi="Times New Roman" w:cs="Times New Roman"/>
              </w:rPr>
              <w:t>是</w:t>
            </w:r>
          </w:p>
        </w:tc>
      </w:tr>
      <w:tr w14:paraId="3B8593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3" w:hRule="atLeast"/>
          <w:jc w:val="center"/>
        </w:trPr>
        <w:tc>
          <w:tcPr>
            <w:tcW w:w="11863" w:type="dxa"/>
            <w:gridSpan w:val="8"/>
            <w:vAlign w:val="center"/>
          </w:tcPr>
          <w:p w14:paraId="5B5BCD9F">
            <w:pPr>
              <w:jc w:val="center"/>
              <w:rPr>
                <w:rFonts w:ascii="Times New Roman" w:hAnsi="Times New Roman" w:cs="Times New Roman"/>
                <w:color w:val="000000"/>
              </w:rPr>
            </w:pPr>
            <w:r>
              <w:rPr>
                <w:rFonts w:ascii="Times New Roman" w:hAnsi="Times New Roman" w:cs="Times New Roman"/>
                <w:color w:val="000000"/>
              </w:rPr>
              <w:t>合　　计</w:t>
            </w:r>
          </w:p>
        </w:tc>
        <w:tc>
          <w:tcPr>
            <w:tcW w:w="748" w:type="dxa"/>
            <w:vAlign w:val="center"/>
          </w:tcPr>
          <w:p w14:paraId="10070FA6">
            <w:pPr>
              <w:jc w:val="center"/>
              <w:rPr>
                <w:rFonts w:hint="default" w:ascii="Times New Roman" w:hAnsi="Times New Roman" w:cs="Times New Roman" w:eastAsiaTheme="minorEastAsia"/>
                <w:color w:val="000000"/>
                <w:lang w:val="en-US" w:eastAsia="zh-CN"/>
              </w:rPr>
            </w:pPr>
            <w:r>
              <w:rPr>
                <w:rFonts w:hint="eastAsia" w:ascii="Times New Roman" w:hAnsi="Times New Roman" w:cs="Times New Roman"/>
                <w:color w:val="000000"/>
                <w:lang w:val="en-US" w:eastAsia="zh-CN"/>
              </w:rPr>
              <w:t>672</w:t>
            </w:r>
            <w:bookmarkStart w:id="1" w:name="_GoBack"/>
            <w:bookmarkEnd w:id="1"/>
          </w:p>
        </w:tc>
        <w:tc>
          <w:tcPr>
            <w:tcW w:w="1239" w:type="dxa"/>
            <w:vAlign w:val="center"/>
          </w:tcPr>
          <w:p w14:paraId="2E546D34">
            <w:pPr>
              <w:jc w:val="center"/>
              <w:rPr>
                <w:rFonts w:ascii="Times New Roman" w:hAnsi="Times New Roman" w:cs="Times New Roman"/>
                <w:color w:val="000000"/>
              </w:rPr>
            </w:pPr>
          </w:p>
        </w:tc>
      </w:tr>
    </w:tbl>
    <w:p w14:paraId="176AFAD7"/>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4137C2"/>
    <w:multiLevelType w:val="singleLevel"/>
    <w:tmpl w:val="B54137C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E3M2NmMTdiODM1NGVkMTBkZjJjZjQ1N2RjYTI2N2EifQ=="/>
  </w:docVars>
  <w:rsids>
    <w:rsidRoot w:val="70A42263"/>
    <w:rsid w:val="00062870"/>
    <w:rsid w:val="002A6785"/>
    <w:rsid w:val="00480E7A"/>
    <w:rsid w:val="005C6EC0"/>
    <w:rsid w:val="0086691C"/>
    <w:rsid w:val="00AA65BE"/>
    <w:rsid w:val="00C118C4"/>
    <w:rsid w:val="00EA050B"/>
    <w:rsid w:val="02485FBF"/>
    <w:rsid w:val="138B3989"/>
    <w:rsid w:val="28BF5428"/>
    <w:rsid w:val="63834150"/>
    <w:rsid w:val="70A422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472</Words>
  <Characters>533</Characters>
  <Lines>12</Lines>
  <Paragraphs>3</Paragraphs>
  <TotalTime>2</TotalTime>
  <ScaleCrop>false</ScaleCrop>
  <LinksUpToDate>false</LinksUpToDate>
  <CharactersWithSpaces>536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2025-06-30T09:28:00Z</dcterms:created>
  <dc:creator>王竹君</dc:creator>
  <cp:lastModifiedBy>常健</cp:lastModifiedBy>
  <dcterms:modified xsi:type="dcterms:W3CDTF">2025-07-11T08:57:48Z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54A7F12694FB4C008D5F7597F89DDDA4_13</vt:lpwstr>
  </property>
  <property fmtid="{D5CDD505-2E9C-101B-9397-08002B2CF9AE}" pid="4" name="KSOTemplateDocerSaveRecord">
    <vt:lpwstr>eyJoZGlkIjoiYTQ3ODFhYTU0ZTM3N2U4MWQzODM3MTY4NTY4ODc0OGMiLCJ1c2VySWQiOiI0MTA2NzUyNTMifQ==</vt:lpwstr>
  </property>
</Properties>
</file>