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1C85F">
      <w:pPr>
        <w:jc w:val="center"/>
        <w:rPr>
          <w:rFonts w:hint="eastAsia" w:ascii="方正小标宋简体" w:hAnsi="方正小标宋简体" w:eastAsia="方正小标宋简体" w:cs="方正小标宋简体"/>
          <w:sz w:val="28"/>
          <w:szCs w:val="36"/>
        </w:rPr>
      </w:pPr>
      <w:bookmarkStart w:id="4" w:name="_GoBack"/>
      <w:bookmarkEnd w:id="4"/>
      <w:r>
        <w:rPr>
          <w:rFonts w:hint="eastAsia" w:ascii="方正小标宋简体" w:hAnsi="方正小标宋简体" w:eastAsia="方正小标宋简体" w:cs="方正小标宋简体"/>
          <w:sz w:val="28"/>
          <w:szCs w:val="36"/>
        </w:rPr>
        <w:t>2025年北京市科学技术奖提名公示内容（自然科学）</w:t>
      </w:r>
    </w:p>
    <w:p w14:paraId="5B08147C">
      <w:pPr>
        <w:numPr>
          <w:ilvl w:val="0"/>
          <w:numId w:val="1"/>
        </w:numPr>
        <w:rPr>
          <w:rFonts w:hint="eastAsia" w:ascii="黑体" w:hAnsi="黑体" w:eastAsia="黑体" w:cs="黑体"/>
          <w:sz w:val="28"/>
          <w:szCs w:val="36"/>
        </w:rPr>
      </w:pPr>
      <w:r>
        <w:rPr>
          <w:rFonts w:hint="eastAsia" w:ascii="黑体" w:hAnsi="黑体" w:eastAsia="黑体" w:cs="黑体"/>
          <w:sz w:val="28"/>
          <w:szCs w:val="36"/>
        </w:rPr>
        <w:t>项目名称：</w:t>
      </w:r>
      <w:r>
        <w:rPr>
          <w:rFonts w:hint="eastAsia" w:ascii="仿宋_GB2312" w:hAnsi="黑体" w:eastAsia="仿宋_GB2312" w:cs="黑体"/>
          <w:sz w:val="28"/>
          <w:szCs w:val="36"/>
        </w:rPr>
        <w:t>超深层碎屑岩全要素成储机制及多尺度缝孔喉网络控产效应</w:t>
      </w:r>
    </w:p>
    <w:p w14:paraId="4BDCA7E5">
      <w:pPr>
        <w:numPr>
          <w:ilvl w:val="0"/>
          <w:numId w:val="1"/>
        </w:numPr>
        <w:rPr>
          <w:rFonts w:hint="eastAsia" w:ascii="黑体" w:hAnsi="黑体" w:eastAsia="黑体" w:cs="黑体"/>
          <w:sz w:val="28"/>
          <w:szCs w:val="36"/>
        </w:rPr>
      </w:pPr>
      <w:r>
        <w:rPr>
          <w:rFonts w:hint="eastAsia" w:ascii="黑体" w:hAnsi="黑体" w:eastAsia="黑体" w:cs="黑体"/>
          <w:sz w:val="28"/>
          <w:szCs w:val="36"/>
        </w:rPr>
        <w:t>候选单位</w:t>
      </w:r>
    </w:p>
    <w:p w14:paraId="5B02EBD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中国石油大学（北京）、</w:t>
      </w:r>
      <w:bookmarkStart w:id="0" w:name="_Hlk200900256"/>
      <w:r>
        <w:rPr>
          <w:rFonts w:hint="eastAsia" w:ascii="仿宋_GB2312" w:hAnsi="仿宋_GB2312" w:eastAsia="仿宋_GB2312" w:cs="仿宋_GB2312"/>
          <w:sz w:val="28"/>
          <w:szCs w:val="28"/>
        </w:rPr>
        <w:t>中国石油天然气股份有限公司勘探开发研究院、中国石油天然气股份有限公司塔里木油田分公司</w:t>
      </w:r>
      <w:bookmarkEnd w:id="0"/>
    </w:p>
    <w:p w14:paraId="61074206">
      <w:pPr>
        <w:numPr>
          <w:ilvl w:val="0"/>
          <w:numId w:val="1"/>
        </w:numPr>
        <w:rPr>
          <w:rFonts w:hint="eastAsia" w:ascii="黑体" w:hAnsi="黑体" w:eastAsia="黑体" w:cs="黑体"/>
          <w:sz w:val="28"/>
          <w:szCs w:val="36"/>
        </w:rPr>
      </w:pPr>
      <w:r>
        <w:rPr>
          <w:rFonts w:hint="eastAsia" w:ascii="黑体" w:hAnsi="黑体" w:eastAsia="黑体" w:cs="黑体"/>
          <w:sz w:val="28"/>
          <w:szCs w:val="36"/>
        </w:rPr>
        <w:t>候选人</w:t>
      </w:r>
    </w:p>
    <w:p w14:paraId="7C688B8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赖锦，王贵文，张荣虎，信毅，曾庆鲁，苏洋，王松，肖露，赵飞，黄玉越，庞小娇，曹军涛</w:t>
      </w:r>
    </w:p>
    <w:p w14:paraId="6FB43FC2">
      <w:pPr>
        <w:numPr>
          <w:ilvl w:val="0"/>
          <w:numId w:val="1"/>
        </w:numPr>
        <w:rPr>
          <w:rFonts w:hint="eastAsia" w:ascii="黑体" w:hAnsi="黑体" w:eastAsia="黑体" w:cs="黑体"/>
          <w:sz w:val="28"/>
          <w:szCs w:val="36"/>
        </w:rPr>
      </w:pPr>
      <w:r>
        <w:rPr>
          <w:rFonts w:hint="eastAsia" w:ascii="黑体" w:hAnsi="黑体" w:eastAsia="黑体" w:cs="黑体"/>
          <w:sz w:val="28"/>
          <w:szCs w:val="36"/>
        </w:rPr>
        <w:t>提名意见</w:t>
      </w:r>
    </w:p>
    <w:p w14:paraId="7AA07DC2">
      <w:pPr>
        <w:ind w:firstLine="560" w:firstLineChars="200"/>
        <w:rPr>
          <w:rFonts w:hint="eastAsia" w:ascii="仿宋_GB2312" w:hAnsi="黑体" w:eastAsia="仿宋_GB2312" w:cs="黑体"/>
          <w:sz w:val="28"/>
          <w:szCs w:val="36"/>
        </w:rPr>
      </w:pPr>
      <w:r>
        <w:rPr>
          <w:rFonts w:hint="eastAsia" w:ascii="黑体" w:hAnsi="黑体" w:eastAsia="黑体" w:cs="黑体"/>
          <w:sz w:val="28"/>
          <w:szCs w:val="28"/>
        </w:rPr>
        <w:t>项目</w:t>
      </w:r>
      <w:r>
        <w:rPr>
          <w:rFonts w:hint="eastAsia" w:ascii="仿宋_GB2312" w:hAnsi="仿宋_GB2312" w:eastAsia="仿宋_GB2312" w:cs="仿宋_GB2312"/>
          <w:sz w:val="28"/>
          <w:szCs w:val="28"/>
        </w:rPr>
        <w:t>针对库车坳陷超深层成储机制不明、多尺度缝-孔-喉网络控产效应不清等科学问题，由</w:t>
      </w:r>
      <w:r>
        <w:rPr>
          <w:rFonts w:hint="eastAsia" w:ascii="仿宋_GB2312" w:hAnsi="黑体" w:eastAsia="仿宋_GB2312" w:cs="黑体"/>
          <w:sz w:val="28"/>
          <w:szCs w:val="36"/>
        </w:rPr>
        <w:t>中国石油大学（北京）牵头、联合中国石油天然气股份有限公司勘探开发研究院、</w:t>
      </w:r>
      <w:r>
        <w:rPr>
          <w:rFonts w:hint="eastAsia" w:ascii="仿宋_GB2312" w:hAnsi="仿宋_GB2312" w:eastAsia="仿宋_GB2312" w:cs="仿宋_GB2312"/>
          <w:sz w:val="28"/>
          <w:szCs w:val="28"/>
        </w:rPr>
        <w:t>中国石油天然气股份有限公司塔里木油田分公司开展协同攻关研究。首次揭示了库车坳陷超深层“沉积-成岩-构造”全要素成储机制，首次发现了储层全尺度缝-孔-喉网络高效连通机理，量化了不同尺度缝-孔-喉网络系统控产效应。项目成果在《Earth-Science Reviews》《AAPG Bulletin》等顶级刊物发表论文多篇，5篇代表作中1篇入选中国精品科技期刊顶尖学术论文(F5000)以及《石油学报》2016年度十佳优秀论文，4篇入选ESI高被引论文，论文总他引1075次，单篇最高620次。项目成果推动了超深层储层成储机制以及多尺度缝孔喉网络控产效应的理论创新，为库车坳陷超深层大气田的高效开发提供理论指导，并为同类气田的效益开发提供借鉴。</w:t>
      </w:r>
      <w:r>
        <w:rPr>
          <w:rFonts w:hint="eastAsia" w:ascii="仿宋_GB2312" w:hAnsi="黑体" w:eastAsia="仿宋_GB2312" w:cs="黑体"/>
          <w:sz w:val="28"/>
          <w:szCs w:val="36"/>
        </w:rPr>
        <w:t>该成果符合北京市自然科学奖的授奖条件，材料属实。同意推荐为北京市自然科学奖一等奖或二等奖。</w:t>
      </w:r>
    </w:p>
    <w:p w14:paraId="19C1FF20">
      <w:pPr>
        <w:ind w:firstLine="560" w:firstLineChars="200"/>
        <w:rPr>
          <w:rFonts w:hint="eastAsia" w:ascii="仿宋_GB2312" w:hAnsi="黑体" w:eastAsia="仿宋_GB2312" w:cs="黑体"/>
          <w:sz w:val="28"/>
          <w:szCs w:val="36"/>
        </w:rPr>
      </w:pPr>
    </w:p>
    <w:p w14:paraId="418D404F">
      <w:pPr>
        <w:rPr>
          <w:rFonts w:hint="eastAsia" w:ascii="仿宋_GB2312" w:hAnsi="黑体" w:eastAsia="仿宋_GB2312" w:cs="黑体"/>
          <w:sz w:val="28"/>
          <w:szCs w:val="36"/>
        </w:rPr>
      </w:pPr>
    </w:p>
    <w:p w14:paraId="7A7345A8">
      <w:pPr>
        <w:rPr>
          <w:rFonts w:hint="eastAsia" w:ascii="黑体" w:hAnsi="黑体" w:eastAsia="黑体" w:cs="黑体"/>
          <w:sz w:val="28"/>
          <w:szCs w:val="28"/>
        </w:rPr>
      </w:pPr>
      <w:r>
        <w:rPr>
          <w:rFonts w:hint="eastAsia" w:ascii="黑体" w:hAnsi="黑体" w:eastAsia="黑体" w:cs="黑体"/>
          <w:sz w:val="28"/>
          <w:szCs w:val="28"/>
        </w:rPr>
        <w:br w:type="page"/>
      </w:r>
    </w:p>
    <w:p w14:paraId="6EB273FE">
      <w:pPr>
        <w:rPr>
          <w:sz w:val="28"/>
          <w:szCs w:val="28"/>
        </w:rPr>
        <w:sectPr>
          <w:pgSz w:w="11906" w:h="16838"/>
          <w:pgMar w:top="1440" w:right="1800" w:bottom="1440" w:left="1800" w:header="851" w:footer="992" w:gutter="0"/>
          <w:cols w:space="425" w:num="1"/>
          <w:docGrid w:type="lines" w:linePitch="312" w:charSpace="0"/>
        </w:sectPr>
      </w:pPr>
    </w:p>
    <w:p w14:paraId="5EDA928C">
      <w:pPr>
        <w:numPr>
          <w:ilvl w:val="0"/>
          <w:numId w:val="1"/>
        </w:numPr>
        <w:rPr>
          <w:rFonts w:hint="eastAsia" w:ascii="黑体" w:hAnsi="黑体" w:eastAsia="黑体" w:cs="黑体"/>
          <w:sz w:val="28"/>
          <w:szCs w:val="36"/>
        </w:rPr>
      </w:pPr>
      <w:bookmarkStart w:id="1" w:name="OLE_LINK14"/>
      <w:r>
        <w:rPr>
          <w:rFonts w:hint="eastAsia" w:ascii="黑体" w:hAnsi="黑体" w:eastAsia="黑体" w:cs="黑体"/>
          <w:sz w:val="28"/>
          <w:szCs w:val="36"/>
        </w:rPr>
        <w:t xml:space="preserve">代表作发表情况（限 </w:t>
      </w:r>
      <w:r>
        <w:rPr>
          <w:rFonts w:ascii="黑体" w:hAnsi="黑体" w:eastAsia="黑体" w:cs="黑体"/>
          <w:sz w:val="28"/>
          <w:szCs w:val="36"/>
        </w:rPr>
        <w:t xml:space="preserve">5 </w:t>
      </w:r>
      <w:r>
        <w:rPr>
          <w:rFonts w:hint="eastAsia" w:ascii="黑体" w:hAnsi="黑体" w:eastAsia="黑体" w:cs="黑体"/>
          <w:sz w:val="28"/>
          <w:szCs w:val="36"/>
        </w:rPr>
        <w:t>篇</w:t>
      </w:r>
      <w:r>
        <w:rPr>
          <w:rFonts w:ascii="黑体" w:hAnsi="黑体" w:eastAsia="黑体" w:cs="黑体"/>
          <w:sz w:val="28"/>
          <w:szCs w:val="36"/>
        </w:rPr>
        <w:t>）</w:t>
      </w:r>
    </w:p>
    <w:tbl>
      <w:tblPr>
        <w:tblStyle w:val="4"/>
        <w:tblW w:w="146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8"/>
        <w:gridCol w:w="2268"/>
        <w:gridCol w:w="2551"/>
        <w:gridCol w:w="1418"/>
        <w:gridCol w:w="850"/>
        <w:gridCol w:w="941"/>
        <w:gridCol w:w="1469"/>
        <w:gridCol w:w="1618"/>
        <w:gridCol w:w="748"/>
        <w:gridCol w:w="752"/>
        <w:gridCol w:w="1239"/>
      </w:tblGrid>
      <w:tr w14:paraId="5A92DF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4602" w:type="dxa"/>
            <w:gridSpan w:val="11"/>
            <w:vAlign w:val="center"/>
          </w:tcPr>
          <w:p w14:paraId="225F56EF">
            <w:pPr>
              <w:jc w:val="left"/>
              <w:rPr>
                <w:b/>
                <w:color w:val="000000"/>
              </w:rPr>
            </w:pPr>
            <w:r>
              <w:rPr>
                <w:b/>
                <w:color w:val="000000"/>
              </w:rPr>
              <w:t>检索机构</w:t>
            </w:r>
            <w:r>
              <w:rPr>
                <w:rFonts w:hint="eastAsia"/>
                <w:b/>
                <w:color w:val="000000"/>
              </w:rPr>
              <w:t>：</w:t>
            </w:r>
          </w:p>
        </w:tc>
      </w:tr>
      <w:tr w14:paraId="32C0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748" w:type="dxa"/>
            <w:vAlign w:val="center"/>
          </w:tcPr>
          <w:p w14:paraId="2EF66E9E">
            <w:pPr>
              <w:adjustRightInd w:val="0"/>
              <w:snapToGrid w:val="0"/>
              <w:jc w:val="center"/>
              <w:rPr>
                <w:b/>
                <w:color w:val="000000"/>
              </w:rPr>
            </w:pPr>
            <w:r>
              <w:rPr>
                <w:rFonts w:hint="eastAsia"/>
                <w:b/>
                <w:color w:val="000000"/>
              </w:rPr>
              <w:t>序号</w:t>
            </w:r>
          </w:p>
        </w:tc>
        <w:tc>
          <w:tcPr>
            <w:tcW w:w="2268" w:type="dxa"/>
            <w:vAlign w:val="center"/>
          </w:tcPr>
          <w:p w14:paraId="638904C3">
            <w:pPr>
              <w:adjustRightInd w:val="0"/>
              <w:snapToGrid w:val="0"/>
              <w:jc w:val="center"/>
              <w:rPr>
                <w:b/>
                <w:color w:val="000000"/>
              </w:rPr>
            </w:pPr>
            <w:r>
              <w:rPr>
                <w:b/>
                <w:color w:val="000000"/>
              </w:rPr>
              <w:t>论文(著作)名称</w:t>
            </w:r>
          </w:p>
        </w:tc>
        <w:tc>
          <w:tcPr>
            <w:tcW w:w="2551" w:type="dxa"/>
            <w:vAlign w:val="center"/>
          </w:tcPr>
          <w:p w14:paraId="3BDF3802">
            <w:pPr>
              <w:adjustRightInd w:val="0"/>
              <w:snapToGrid w:val="0"/>
              <w:jc w:val="center"/>
              <w:rPr>
                <w:b/>
                <w:color w:val="000000"/>
              </w:rPr>
            </w:pPr>
            <w:r>
              <w:rPr>
                <w:b/>
                <w:color w:val="000000"/>
              </w:rPr>
              <w:t>刊名/出版社</w:t>
            </w:r>
          </w:p>
        </w:tc>
        <w:tc>
          <w:tcPr>
            <w:tcW w:w="1418" w:type="dxa"/>
            <w:vAlign w:val="center"/>
          </w:tcPr>
          <w:p w14:paraId="3FA5C6F3">
            <w:pPr>
              <w:adjustRightInd w:val="0"/>
              <w:snapToGrid w:val="0"/>
              <w:jc w:val="center"/>
              <w:rPr>
                <w:b/>
                <w:color w:val="000000"/>
              </w:rPr>
            </w:pPr>
            <w:r>
              <w:rPr>
                <w:b/>
                <w:color w:val="000000"/>
              </w:rPr>
              <w:t>发表时间</w:t>
            </w:r>
          </w:p>
          <w:p w14:paraId="724C197C">
            <w:pPr>
              <w:adjustRightInd w:val="0"/>
              <w:snapToGrid w:val="0"/>
              <w:jc w:val="center"/>
              <w:rPr>
                <w:b/>
                <w:color w:val="000000"/>
              </w:rPr>
            </w:pPr>
            <w:r>
              <w:rPr>
                <w:b/>
                <w:color w:val="000000"/>
              </w:rPr>
              <w:t>(年月日)</w:t>
            </w:r>
          </w:p>
        </w:tc>
        <w:tc>
          <w:tcPr>
            <w:tcW w:w="850" w:type="dxa"/>
            <w:vAlign w:val="center"/>
          </w:tcPr>
          <w:p w14:paraId="62EF9C31">
            <w:pPr>
              <w:adjustRightInd w:val="0"/>
              <w:snapToGrid w:val="0"/>
              <w:jc w:val="center"/>
              <w:rPr>
                <w:b/>
                <w:color w:val="000000"/>
              </w:rPr>
            </w:pPr>
            <w:r>
              <w:rPr>
                <w:b/>
                <w:color w:val="000000"/>
              </w:rPr>
              <w:t>通讯</w:t>
            </w:r>
          </w:p>
          <w:p w14:paraId="242310FE">
            <w:pPr>
              <w:adjustRightInd w:val="0"/>
              <w:snapToGrid w:val="0"/>
              <w:jc w:val="center"/>
              <w:rPr>
                <w:b/>
                <w:color w:val="000000"/>
              </w:rPr>
            </w:pPr>
            <w:r>
              <w:rPr>
                <w:b/>
                <w:color w:val="000000"/>
              </w:rPr>
              <w:t>作者</w:t>
            </w:r>
            <w:r>
              <w:rPr>
                <w:rFonts w:hint="eastAsia"/>
                <w:b/>
                <w:color w:val="000000"/>
              </w:rPr>
              <w:t>（含共同）</w:t>
            </w:r>
            <w:r>
              <w:rPr>
                <w:b/>
                <w:color w:val="000000"/>
              </w:rPr>
              <w:t xml:space="preserve"> </w:t>
            </w:r>
          </w:p>
        </w:tc>
        <w:tc>
          <w:tcPr>
            <w:tcW w:w="941" w:type="dxa"/>
            <w:vAlign w:val="center"/>
          </w:tcPr>
          <w:p w14:paraId="25DED3F0">
            <w:pPr>
              <w:adjustRightInd w:val="0"/>
              <w:snapToGrid w:val="0"/>
              <w:jc w:val="center"/>
              <w:rPr>
                <w:b/>
                <w:color w:val="000000"/>
              </w:rPr>
            </w:pPr>
            <w:r>
              <w:rPr>
                <w:b/>
                <w:color w:val="000000"/>
              </w:rPr>
              <w:t>第一</w:t>
            </w:r>
          </w:p>
          <w:p w14:paraId="128835F5">
            <w:pPr>
              <w:adjustRightInd w:val="0"/>
              <w:snapToGrid w:val="0"/>
              <w:jc w:val="center"/>
              <w:rPr>
                <w:b/>
                <w:color w:val="000000"/>
              </w:rPr>
            </w:pPr>
            <w:r>
              <w:rPr>
                <w:b/>
                <w:color w:val="000000"/>
              </w:rPr>
              <w:t>作者</w:t>
            </w:r>
          </w:p>
        </w:tc>
        <w:tc>
          <w:tcPr>
            <w:tcW w:w="1469" w:type="dxa"/>
            <w:vAlign w:val="center"/>
          </w:tcPr>
          <w:p w14:paraId="20D897C4">
            <w:pPr>
              <w:adjustRightInd w:val="0"/>
              <w:snapToGrid w:val="0"/>
              <w:jc w:val="center"/>
              <w:rPr>
                <w:b/>
                <w:color w:val="000000"/>
              </w:rPr>
            </w:pPr>
            <w:r>
              <w:rPr>
                <w:b/>
                <w:color w:val="000000"/>
              </w:rPr>
              <w:t>全部作者</w:t>
            </w:r>
          </w:p>
        </w:tc>
        <w:tc>
          <w:tcPr>
            <w:tcW w:w="1618" w:type="dxa"/>
            <w:vAlign w:val="center"/>
          </w:tcPr>
          <w:p w14:paraId="468BAC4F">
            <w:pPr>
              <w:adjustRightInd w:val="0"/>
              <w:snapToGrid w:val="0"/>
              <w:jc w:val="center"/>
              <w:rPr>
                <w:b/>
                <w:color w:val="000000"/>
              </w:rPr>
            </w:pPr>
            <w:r>
              <w:rPr>
                <w:b/>
                <w:color w:val="000000"/>
              </w:rPr>
              <w:t>年卷期页码</w:t>
            </w:r>
          </w:p>
        </w:tc>
        <w:tc>
          <w:tcPr>
            <w:tcW w:w="748" w:type="dxa"/>
            <w:vAlign w:val="center"/>
          </w:tcPr>
          <w:p w14:paraId="6C20F5B1">
            <w:pPr>
              <w:adjustRightInd w:val="0"/>
              <w:snapToGrid w:val="0"/>
              <w:jc w:val="center"/>
              <w:rPr>
                <w:b/>
                <w:color w:val="000000"/>
              </w:rPr>
            </w:pPr>
            <w:r>
              <w:rPr>
                <w:b/>
                <w:color w:val="000000"/>
              </w:rPr>
              <w:t>SCI他引 次数</w:t>
            </w:r>
          </w:p>
        </w:tc>
        <w:tc>
          <w:tcPr>
            <w:tcW w:w="752" w:type="dxa"/>
            <w:vAlign w:val="center"/>
          </w:tcPr>
          <w:p w14:paraId="44740042">
            <w:pPr>
              <w:adjustRightInd w:val="0"/>
              <w:snapToGrid w:val="0"/>
              <w:jc w:val="center"/>
              <w:rPr>
                <w:b/>
                <w:color w:val="000000"/>
              </w:rPr>
            </w:pPr>
            <w:r>
              <w:rPr>
                <w:b/>
                <w:color w:val="000000"/>
              </w:rPr>
              <w:t>他引</w:t>
            </w:r>
            <w:r>
              <w:rPr>
                <w:rFonts w:hint="eastAsia"/>
                <w:b/>
                <w:color w:val="000000"/>
              </w:rPr>
              <w:t>总</w:t>
            </w:r>
            <w:r>
              <w:rPr>
                <w:b/>
                <w:color w:val="000000"/>
              </w:rPr>
              <w:t>次数</w:t>
            </w:r>
          </w:p>
        </w:tc>
        <w:tc>
          <w:tcPr>
            <w:tcW w:w="1239" w:type="dxa"/>
            <w:vAlign w:val="center"/>
          </w:tcPr>
          <w:p w14:paraId="46CDA693">
            <w:pPr>
              <w:adjustRightInd w:val="0"/>
              <w:snapToGrid w:val="0"/>
              <w:jc w:val="center"/>
              <w:rPr>
                <w:b/>
                <w:color w:val="000000"/>
              </w:rPr>
            </w:pPr>
            <w:r>
              <w:rPr>
                <w:b/>
                <w:color w:val="000000"/>
              </w:rPr>
              <w:t>是否国内完成</w:t>
            </w:r>
          </w:p>
        </w:tc>
      </w:tr>
      <w:tr w14:paraId="0E5B3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18FCE9F">
            <w:pPr>
              <w:jc w:val="center"/>
              <w:rPr>
                <w:color w:val="000000"/>
              </w:rPr>
            </w:pPr>
            <w:r>
              <w:rPr>
                <w:rFonts w:ascii="宋体" w:hAnsi="宋体"/>
                <w:szCs w:val="21"/>
              </w:rPr>
              <w:t>1</w:t>
            </w:r>
          </w:p>
        </w:tc>
        <w:tc>
          <w:tcPr>
            <w:tcW w:w="2268" w:type="dxa"/>
            <w:vAlign w:val="center"/>
          </w:tcPr>
          <w:p w14:paraId="056043BB">
            <w:pPr>
              <w:jc w:val="center"/>
              <w:rPr>
                <w:rFonts w:ascii="Times New Roman" w:hAnsi="Times New Roman" w:cs="Times New Roman"/>
                <w:color w:val="000000"/>
              </w:rPr>
            </w:pPr>
            <w:bookmarkStart w:id="2" w:name="OLE_LINK6"/>
            <w:r>
              <w:rPr>
                <w:rFonts w:ascii="Times New Roman" w:hAnsi="Times New Roman" w:cs="Times New Roman"/>
                <w:color w:val="000000"/>
              </w:rPr>
              <w:t>Review of diagenetic facies in tight sandstones: Diagenesis, diagenetic minerals, and prediction via well logs</w:t>
            </w:r>
            <w:bookmarkEnd w:id="2"/>
          </w:p>
        </w:tc>
        <w:tc>
          <w:tcPr>
            <w:tcW w:w="2551" w:type="dxa"/>
            <w:vAlign w:val="center"/>
          </w:tcPr>
          <w:p w14:paraId="48D38CA3">
            <w:pPr>
              <w:jc w:val="center"/>
              <w:rPr>
                <w:rFonts w:ascii="Times New Roman" w:hAnsi="Times New Roman" w:cs="Times New Roman"/>
                <w:color w:val="000000"/>
              </w:rPr>
            </w:pPr>
            <w:r>
              <w:rPr>
                <w:rFonts w:ascii="Times New Roman" w:hAnsi="Times New Roman" w:cs="Times New Roman"/>
                <w:color w:val="000000"/>
              </w:rPr>
              <w:t>Earth-Science Reviews</w:t>
            </w:r>
          </w:p>
        </w:tc>
        <w:tc>
          <w:tcPr>
            <w:tcW w:w="1418" w:type="dxa"/>
            <w:vAlign w:val="center"/>
          </w:tcPr>
          <w:p w14:paraId="679BE4D3">
            <w:pPr>
              <w:jc w:val="center"/>
              <w:rPr>
                <w:rFonts w:ascii="Times New Roman" w:hAnsi="Times New Roman" w:cs="Times New Roman"/>
                <w:color w:val="000000"/>
              </w:rPr>
            </w:pPr>
            <w:r>
              <w:rPr>
                <w:rFonts w:ascii="Times New Roman" w:hAnsi="Times New Roman" w:cs="Times New Roman"/>
                <w:color w:val="000000"/>
              </w:rPr>
              <w:t>2018-10-15</w:t>
            </w:r>
          </w:p>
        </w:tc>
        <w:tc>
          <w:tcPr>
            <w:tcW w:w="850" w:type="dxa"/>
            <w:vAlign w:val="center"/>
          </w:tcPr>
          <w:p w14:paraId="0B9ED184">
            <w:pPr>
              <w:jc w:val="center"/>
              <w:rPr>
                <w:rFonts w:ascii="Times New Roman" w:hAnsi="Times New Roman" w:cs="Times New Roman"/>
                <w:color w:val="000000"/>
              </w:rPr>
            </w:pPr>
            <w:r>
              <w:rPr>
                <w:rFonts w:ascii="Times New Roman" w:hAnsi="Times New Roman" w:cs="Times New Roman"/>
                <w:color w:val="000000"/>
              </w:rPr>
              <w:t>赖锦，王贵文</w:t>
            </w:r>
          </w:p>
        </w:tc>
        <w:tc>
          <w:tcPr>
            <w:tcW w:w="941" w:type="dxa"/>
            <w:vAlign w:val="center"/>
          </w:tcPr>
          <w:p w14:paraId="6A7F50A9">
            <w:pPr>
              <w:jc w:val="center"/>
              <w:rPr>
                <w:rFonts w:ascii="Times New Roman" w:hAnsi="Times New Roman" w:cs="Times New Roman"/>
                <w:color w:val="000000"/>
              </w:rPr>
            </w:pPr>
            <w:r>
              <w:rPr>
                <w:rFonts w:ascii="Times New Roman" w:hAnsi="Times New Roman" w:cs="Times New Roman"/>
                <w:color w:val="000000"/>
              </w:rPr>
              <w:t>赖锦</w:t>
            </w:r>
          </w:p>
        </w:tc>
        <w:tc>
          <w:tcPr>
            <w:tcW w:w="1469" w:type="dxa"/>
            <w:vAlign w:val="center"/>
          </w:tcPr>
          <w:p w14:paraId="4A2621F9">
            <w:pPr>
              <w:jc w:val="center"/>
              <w:rPr>
                <w:rFonts w:ascii="Times New Roman" w:hAnsi="Times New Roman" w:cs="Times New Roman"/>
                <w:color w:val="000000"/>
              </w:rPr>
            </w:pPr>
            <w:r>
              <w:rPr>
                <w:rFonts w:ascii="Times New Roman" w:hAnsi="Times New Roman" w:cs="Times New Roman"/>
                <w:color w:val="000000"/>
              </w:rPr>
              <w:t>赖锦，王贵文，王松，曹军涛，李梅，庞小娇，周正龙，范旭强，代全齐，杨柳</w:t>
            </w:r>
          </w:p>
        </w:tc>
        <w:tc>
          <w:tcPr>
            <w:tcW w:w="1618" w:type="dxa"/>
            <w:vAlign w:val="center"/>
          </w:tcPr>
          <w:p w14:paraId="0F5F1404">
            <w:pPr>
              <w:jc w:val="center"/>
              <w:rPr>
                <w:rFonts w:ascii="Times New Roman" w:hAnsi="Times New Roman" w:cs="Times New Roman"/>
                <w:color w:val="000000"/>
              </w:rPr>
            </w:pPr>
            <w:r>
              <w:rPr>
                <w:rFonts w:ascii="Times New Roman" w:hAnsi="Times New Roman" w:cs="Times New Roman"/>
                <w:color w:val="000000"/>
              </w:rPr>
              <w:t>185:234-258</w:t>
            </w:r>
          </w:p>
        </w:tc>
        <w:tc>
          <w:tcPr>
            <w:tcW w:w="748" w:type="dxa"/>
            <w:vAlign w:val="center"/>
          </w:tcPr>
          <w:p w14:paraId="5A3D512E">
            <w:pPr>
              <w:jc w:val="center"/>
              <w:rPr>
                <w:rFonts w:ascii="Times New Roman" w:hAnsi="Times New Roman" w:cs="Times New Roman"/>
                <w:color w:val="000000"/>
              </w:rPr>
            </w:pPr>
            <w:r>
              <w:rPr>
                <w:rFonts w:hint="eastAsia" w:ascii="Times New Roman" w:hAnsi="Times New Roman" w:cs="Times New Roman"/>
                <w:color w:val="000000"/>
              </w:rPr>
              <w:t>196</w:t>
            </w:r>
          </w:p>
        </w:tc>
        <w:tc>
          <w:tcPr>
            <w:tcW w:w="752" w:type="dxa"/>
            <w:vAlign w:val="center"/>
          </w:tcPr>
          <w:p w14:paraId="67008C35">
            <w:pPr>
              <w:jc w:val="center"/>
              <w:rPr>
                <w:rFonts w:ascii="Times New Roman" w:hAnsi="Times New Roman" w:cs="Times New Roman"/>
                <w:color w:val="000000"/>
              </w:rPr>
            </w:pPr>
            <w:r>
              <w:rPr>
                <w:rFonts w:hint="eastAsia" w:ascii="Times New Roman" w:hAnsi="Times New Roman" w:cs="Times New Roman"/>
                <w:color w:val="000000"/>
              </w:rPr>
              <w:t>214</w:t>
            </w:r>
          </w:p>
        </w:tc>
        <w:tc>
          <w:tcPr>
            <w:tcW w:w="1239" w:type="dxa"/>
            <w:vAlign w:val="center"/>
          </w:tcPr>
          <w:p w14:paraId="4898568D">
            <w:pPr>
              <w:jc w:val="center"/>
              <w:rPr>
                <w:rFonts w:ascii="Times New Roman" w:hAnsi="Times New Roman" w:cs="Times New Roman"/>
              </w:rPr>
            </w:pPr>
            <w:r>
              <w:rPr>
                <w:rFonts w:ascii="Times New Roman" w:hAnsi="Times New Roman" w:cs="Times New Roman"/>
              </w:rPr>
              <w:t>是</w:t>
            </w:r>
          </w:p>
        </w:tc>
      </w:tr>
      <w:tr w14:paraId="1B513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DD54A32">
            <w:pPr>
              <w:jc w:val="center"/>
              <w:rPr>
                <w:color w:val="000000"/>
              </w:rPr>
            </w:pPr>
            <w:r>
              <w:rPr>
                <w:rFonts w:ascii="宋体" w:hAnsi="宋体"/>
                <w:szCs w:val="21"/>
              </w:rPr>
              <w:t>2</w:t>
            </w:r>
          </w:p>
        </w:tc>
        <w:tc>
          <w:tcPr>
            <w:tcW w:w="2268" w:type="dxa"/>
            <w:vAlign w:val="center"/>
          </w:tcPr>
          <w:p w14:paraId="398B1887">
            <w:pPr>
              <w:jc w:val="center"/>
              <w:rPr>
                <w:rFonts w:ascii="Times New Roman" w:hAnsi="Times New Roman" w:cs="Times New Roman"/>
                <w:color w:val="000000"/>
              </w:rPr>
            </w:pPr>
            <w:r>
              <w:rPr>
                <w:rFonts w:ascii="Times New Roman" w:hAnsi="Times New Roman" w:cs="Times New Roman"/>
                <w:color w:val="000000"/>
              </w:rPr>
              <w:t>Application of geophysical well logs in solving geologic issues: Past, present and future prospect</w:t>
            </w:r>
          </w:p>
        </w:tc>
        <w:tc>
          <w:tcPr>
            <w:tcW w:w="2551" w:type="dxa"/>
            <w:vAlign w:val="center"/>
          </w:tcPr>
          <w:p w14:paraId="67736749">
            <w:pPr>
              <w:jc w:val="center"/>
              <w:rPr>
                <w:rFonts w:ascii="Times New Roman" w:hAnsi="Times New Roman" w:cs="Times New Roman"/>
                <w:color w:val="000000"/>
              </w:rPr>
            </w:pPr>
            <w:bookmarkStart w:id="3" w:name="OLE_LINK10"/>
            <w:r>
              <w:rPr>
                <w:rFonts w:ascii="Times New Roman" w:hAnsi="Times New Roman" w:cs="Times New Roman"/>
                <w:color w:val="000000"/>
              </w:rPr>
              <w:t>Geoscience Frontiers</w:t>
            </w:r>
            <w:bookmarkEnd w:id="3"/>
          </w:p>
        </w:tc>
        <w:tc>
          <w:tcPr>
            <w:tcW w:w="1418" w:type="dxa"/>
            <w:vAlign w:val="center"/>
          </w:tcPr>
          <w:p w14:paraId="58AEF0A1">
            <w:pPr>
              <w:jc w:val="center"/>
              <w:rPr>
                <w:rFonts w:ascii="Times New Roman" w:hAnsi="Times New Roman" w:cs="Times New Roman"/>
                <w:color w:val="000000"/>
              </w:rPr>
            </w:pPr>
            <w:r>
              <w:rPr>
                <w:rFonts w:ascii="Times New Roman" w:hAnsi="Times New Roman" w:cs="Times New Roman"/>
                <w:color w:val="000000"/>
              </w:rPr>
              <w:t>2024-01-06</w:t>
            </w:r>
          </w:p>
        </w:tc>
        <w:tc>
          <w:tcPr>
            <w:tcW w:w="850" w:type="dxa"/>
            <w:vAlign w:val="center"/>
          </w:tcPr>
          <w:p w14:paraId="058F93AD">
            <w:pPr>
              <w:jc w:val="center"/>
              <w:rPr>
                <w:rFonts w:ascii="Times New Roman" w:hAnsi="Times New Roman" w:cs="Times New Roman"/>
                <w:color w:val="000000"/>
              </w:rPr>
            </w:pPr>
            <w:r>
              <w:rPr>
                <w:rFonts w:ascii="Times New Roman" w:hAnsi="Times New Roman" w:cs="Times New Roman"/>
                <w:color w:val="000000"/>
              </w:rPr>
              <w:t>赖锦</w:t>
            </w:r>
          </w:p>
        </w:tc>
        <w:tc>
          <w:tcPr>
            <w:tcW w:w="941" w:type="dxa"/>
            <w:vAlign w:val="center"/>
          </w:tcPr>
          <w:p w14:paraId="55769A83">
            <w:pPr>
              <w:jc w:val="center"/>
              <w:rPr>
                <w:rFonts w:ascii="Times New Roman" w:hAnsi="Times New Roman" w:cs="Times New Roman"/>
                <w:color w:val="000000"/>
              </w:rPr>
            </w:pPr>
            <w:r>
              <w:rPr>
                <w:rFonts w:ascii="Times New Roman" w:hAnsi="Times New Roman" w:cs="Times New Roman"/>
                <w:color w:val="000000"/>
              </w:rPr>
              <w:t>赖锦</w:t>
            </w:r>
          </w:p>
        </w:tc>
        <w:tc>
          <w:tcPr>
            <w:tcW w:w="1469" w:type="dxa"/>
            <w:vAlign w:val="center"/>
          </w:tcPr>
          <w:p w14:paraId="7EAAEDA9">
            <w:pPr>
              <w:jc w:val="center"/>
              <w:rPr>
                <w:rFonts w:ascii="Times New Roman" w:hAnsi="Times New Roman" w:cs="Times New Roman"/>
                <w:color w:val="000000"/>
              </w:rPr>
            </w:pPr>
            <w:r>
              <w:rPr>
                <w:rFonts w:ascii="Times New Roman" w:hAnsi="Times New Roman" w:cs="Times New Roman"/>
                <w:color w:val="000000"/>
              </w:rPr>
              <w:t>赖锦，苏洋，肖露，赵飞，白天宇，黎宇航，李红斌，黄玉越，王贵文，秦自强</w:t>
            </w:r>
          </w:p>
        </w:tc>
        <w:tc>
          <w:tcPr>
            <w:tcW w:w="1618" w:type="dxa"/>
            <w:vAlign w:val="center"/>
          </w:tcPr>
          <w:p w14:paraId="640553E6">
            <w:pPr>
              <w:jc w:val="center"/>
              <w:rPr>
                <w:rFonts w:ascii="Times New Roman" w:hAnsi="Times New Roman" w:cs="Times New Roman"/>
                <w:color w:val="000000"/>
              </w:rPr>
            </w:pPr>
            <w:r>
              <w:rPr>
                <w:rFonts w:ascii="Times New Roman" w:hAnsi="Times New Roman" w:cs="Times New Roman"/>
                <w:color w:val="000000"/>
              </w:rPr>
              <w:t>15(3), 101779</w:t>
            </w:r>
          </w:p>
        </w:tc>
        <w:tc>
          <w:tcPr>
            <w:tcW w:w="748" w:type="dxa"/>
            <w:vAlign w:val="center"/>
          </w:tcPr>
          <w:p w14:paraId="18346646">
            <w:pPr>
              <w:jc w:val="center"/>
              <w:rPr>
                <w:rFonts w:ascii="Times New Roman" w:hAnsi="Times New Roman" w:cs="Times New Roman"/>
                <w:color w:val="000000"/>
              </w:rPr>
            </w:pPr>
            <w:r>
              <w:rPr>
                <w:rFonts w:hint="eastAsia" w:ascii="Times New Roman" w:hAnsi="Times New Roman" w:cs="Times New Roman"/>
                <w:color w:val="000000"/>
              </w:rPr>
              <w:t>17</w:t>
            </w:r>
          </w:p>
        </w:tc>
        <w:tc>
          <w:tcPr>
            <w:tcW w:w="752" w:type="dxa"/>
            <w:vAlign w:val="center"/>
          </w:tcPr>
          <w:p w14:paraId="47A16666">
            <w:pPr>
              <w:jc w:val="center"/>
              <w:rPr>
                <w:rFonts w:ascii="Times New Roman" w:hAnsi="Times New Roman" w:cs="Times New Roman"/>
                <w:color w:val="000000"/>
              </w:rPr>
            </w:pPr>
            <w:r>
              <w:rPr>
                <w:rFonts w:hint="eastAsia" w:ascii="Times New Roman" w:hAnsi="Times New Roman" w:cs="Times New Roman"/>
                <w:color w:val="000000"/>
              </w:rPr>
              <w:t>18</w:t>
            </w:r>
          </w:p>
        </w:tc>
        <w:tc>
          <w:tcPr>
            <w:tcW w:w="1239" w:type="dxa"/>
            <w:vAlign w:val="center"/>
          </w:tcPr>
          <w:p w14:paraId="58B8AF0C">
            <w:pPr>
              <w:jc w:val="center"/>
              <w:rPr>
                <w:rFonts w:ascii="Times New Roman" w:hAnsi="Times New Roman" w:cs="Times New Roman"/>
              </w:rPr>
            </w:pPr>
            <w:r>
              <w:rPr>
                <w:rFonts w:ascii="Times New Roman" w:hAnsi="Times New Roman" w:cs="Times New Roman"/>
              </w:rPr>
              <w:t>是</w:t>
            </w:r>
          </w:p>
        </w:tc>
      </w:tr>
      <w:tr w14:paraId="3FB9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5718713F">
            <w:pPr>
              <w:jc w:val="center"/>
              <w:rPr>
                <w:color w:val="000000"/>
              </w:rPr>
            </w:pPr>
            <w:r>
              <w:rPr>
                <w:rFonts w:ascii="宋体" w:hAnsi="宋体"/>
                <w:szCs w:val="21"/>
              </w:rPr>
              <w:t>3</w:t>
            </w:r>
          </w:p>
        </w:tc>
        <w:tc>
          <w:tcPr>
            <w:tcW w:w="2268" w:type="dxa"/>
            <w:vAlign w:val="center"/>
          </w:tcPr>
          <w:p w14:paraId="3084DD1E">
            <w:pPr>
              <w:jc w:val="center"/>
              <w:rPr>
                <w:rFonts w:ascii="Times New Roman" w:hAnsi="Times New Roman" w:cs="Times New Roman"/>
                <w:color w:val="000000"/>
              </w:rPr>
            </w:pPr>
            <w:r>
              <w:rPr>
                <w:rFonts w:ascii="Times New Roman" w:hAnsi="Times New Roman" w:cs="Times New Roman"/>
                <w:color w:val="000000"/>
              </w:rPr>
              <w:t>库车坳陷超深层低孔致密砂岩储层形成机制与油气勘探意义</w:t>
            </w:r>
          </w:p>
        </w:tc>
        <w:tc>
          <w:tcPr>
            <w:tcW w:w="2551" w:type="dxa"/>
            <w:vAlign w:val="center"/>
          </w:tcPr>
          <w:p w14:paraId="29CD2365">
            <w:pPr>
              <w:jc w:val="center"/>
              <w:rPr>
                <w:rFonts w:ascii="Times New Roman" w:hAnsi="Times New Roman" w:cs="Times New Roman"/>
                <w:color w:val="000000"/>
              </w:rPr>
            </w:pPr>
            <w:r>
              <w:rPr>
                <w:rFonts w:ascii="Times New Roman" w:hAnsi="Times New Roman" w:cs="Times New Roman"/>
                <w:color w:val="000000"/>
              </w:rPr>
              <w:t>石油学报</w:t>
            </w:r>
          </w:p>
        </w:tc>
        <w:tc>
          <w:tcPr>
            <w:tcW w:w="1418" w:type="dxa"/>
            <w:vAlign w:val="center"/>
          </w:tcPr>
          <w:p w14:paraId="1F61B343">
            <w:pPr>
              <w:jc w:val="center"/>
              <w:rPr>
                <w:rFonts w:ascii="Times New Roman" w:hAnsi="Times New Roman" w:cs="Times New Roman"/>
                <w:color w:val="000000"/>
              </w:rPr>
            </w:pPr>
            <w:r>
              <w:rPr>
                <w:rFonts w:ascii="Times New Roman" w:hAnsi="Times New Roman" w:cs="Times New Roman"/>
                <w:color w:val="000000"/>
              </w:rPr>
              <w:t>2024-11-15</w:t>
            </w:r>
          </w:p>
        </w:tc>
        <w:tc>
          <w:tcPr>
            <w:tcW w:w="850" w:type="dxa"/>
            <w:vAlign w:val="center"/>
          </w:tcPr>
          <w:p w14:paraId="32A4ACD9">
            <w:pPr>
              <w:jc w:val="center"/>
              <w:rPr>
                <w:rFonts w:ascii="Times New Roman" w:hAnsi="Times New Roman" w:cs="Times New Roman"/>
                <w:color w:val="000000"/>
              </w:rPr>
            </w:pPr>
            <w:r>
              <w:rPr>
                <w:rFonts w:ascii="Times New Roman" w:hAnsi="Times New Roman" w:cs="Times New Roman"/>
                <w:color w:val="000000"/>
              </w:rPr>
              <w:t>张荣虎</w:t>
            </w:r>
          </w:p>
        </w:tc>
        <w:tc>
          <w:tcPr>
            <w:tcW w:w="941" w:type="dxa"/>
            <w:vAlign w:val="center"/>
          </w:tcPr>
          <w:p w14:paraId="5B341EE2">
            <w:pPr>
              <w:jc w:val="center"/>
              <w:rPr>
                <w:rFonts w:ascii="Times New Roman" w:hAnsi="Times New Roman" w:cs="Times New Roman"/>
                <w:color w:val="000000"/>
              </w:rPr>
            </w:pPr>
            <w:r>
              <w:rPr>
                <w:rFonts w:ascii="Times New Roman" w:hAnsi="Times New Roman" w:cs="Times New Roman"/>
                <w:color w:val="000000"/>
              </w:rPr>
              <w:t>张荣虎</w:t>
            </w:r>
          </w:p>
        </w:tc>
        <w:tc>
          <w:tcPr>
            <w:tcW w:w="1469" w:type="dxa"/>
            <w:vAlign w:val="center"/>
          </w:tcPr>
          <w:p w14:paraId="2C88D227">
            <w:pPr>
              <w:jc w:val="center"/>
              <w:rPr>
                <w:rFonts w:ascii="Times New Roman" w:hAnsi="Times New Roman" w:cs="Times New Roman"/>
                <w:color w:val="000000"/>
              </w:rPr>
            </w:pPr>
            <w:r>
              <w:rPr>
                <w:rFonts w:ascii="Times New Roman" w:hAnsi="Times New Roman" w:cs="Times New Roman"/>
                <w:color w:val="000000"/>
              </w:rPr>
              <w:t>张荣虎，杨海军，王俊鹏，寿建峰，曾庆鲁，刘群</w:t>
            </w:r>
          </w:p>
        </w:tc>
        <w:tc>
          <w:tcPr>
            <w:tcW w:w="1618" w:type="dxa"/>
            <w:vAlign w:val="center"/>
          </w:tcPr>
          <w:p w14:paraId="48CFC58C">
            <w:pPr>
              <w:jc w:val="center"/>
              <w:rPr>
                <w:rFonts w:ascii="Times New Roman" w:hAnsi="Times New Roman" w:cs="Times New Roman"/>
                <w:color w:val="000000"/>
              </w:rPr>
            </w:pPr>
            <w:r>
              <w:rPr>
                <w:rFonts w:ascii="Times New Roman" w:hAnsi="Times New Roman" w:cs="Times New Roman"/>
                <w:color w:val="000000"/>
              </w:rPr>
              <w:t>35(6):1057-1069</w:t>
            </w:r>
          </w:p>
        </w:tc>
        <w:tc>
          <w:tcPr>
            <w:tcW w:w="748" w:type="dxa"/>
            <w:vAlign w:val="center"/>
          </w:tcPr>
          <w:p w14:paraId="2DBCBE95">
            <w:pPr>
              <w:jc w:val="center"/>
              <w:rPr>
                <w:rFonts w:ascii="Times New Roman" w:hAnsi="Times New Roman" w:cs="Times New Roman"/>
                <w:color w:val="000000"/>
              </w:rPr>
            </w:pPr>
            <w:r>
              <w:rPr>
                <w:rFonts w:hint="eastAsia" w:ascii="Times New Roman" w:hAnsi="Times New Roman" w:cs="Times New Roman"/>
                <w:color w:val="000000"/>
              </w:rPr>
              <w:t>23</w:t>
            </w:r>
          </w:p>
        </w:tc>
        <w:tc>
          <w:tcPr>
            <w:tcW w:w="752" w:type="dxa"/>
            <w:vAlign w:val="center"/>
          </w:tcPr>
          <w:p w14:paraId="3CD12F27">
            <w:pPr>
              <w:jc w:val="center"/>
              <w:rPr>
                <w:rFonts w:ascii="Times New Roman" w:hAnsi="Times New Roman" w:cs="Times New Roman"/>
                <w:color w:val="000000"/>
              </w:rPr>
            </w:pPr>
            <w:r>
              <w:rPr>
                <w:rFonts w:hint="eastAsia" w:ascii="Times New Roman" w:hAnsi="Times New Roman" w:cs="Times New Roman"/>
                <w:color w:val="000000"/>
              </w:rPr>
              <w:t>68</w:t>
            </w:r>
          </w:p>
        </w:tc>
        <w:tc>
          <w:tcPr>
            <w:tcW w:w="1239" w:type="dxa"/>
            <w:vAlign w:val="center"/>
          </w:tcPr>
          <w:p w14:paraId="343868D6">
            <w:pPr>
              <w:jc w:val="center"/>
              <w:rPr>
                <w:rFonts w:ascii="Times New Roman" w:hAnsi="Times New Roman" w:cs="Times New Roman"/>
              </w:rPr>
            </w:pPr>
            <w:r>
              <w:rPr>
                <w:rFonts w:ascii="Times New Roman" w:hAnsi="Times New Roman" w:cs="Times New Roman"/>
              </w:rPr>
              <w:t>是</w:t>
            </w:r>
          </w:p>
        </w:tc>
      </w:tr>
      <w:tr w14:paraId="4DF6E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65FE026E">
            <w:pPr>
              <w:jc w:val="center"/>
              <w:rPr>
                <w:color w:val="000000"/>
              </w:rPr>
            </w:pPr>
            <w:r>
              <w:rPr>
                <w:rFonts w:ascii="宋体" w:hAnsi="宋体"/>
                <w:szCs w:val="21"/>
              </w:rPr>
              <w:t>4</w:t>
            </w:r>
          </w:p>
        </w:tc>
        <w:tc>
          <w:tcPr>
            <w:tcW w:w="2268" w:type="dxa"/>
            <w:vAlign w:val="center"/>
          </w:tcPr>
          <w:p w14:paraId="606D8349">
            <w:pPr>
              <w:jc w:val="center"/>
              <w:rPr>
                <w:rFonts w:ascii="Times New Roman" w:hAnsi="Times New Roman" w:cs="Times New Roman"/>
                <w:color w:val="000000"/>
              </w:rPr>
            </w:pPr>
            <w:r>
              <w:rPr>
                <w:rFonts w:ascii="Times New Roman" w:hAnsi="Times New Roman" w:cs="Times New Roman"/>
                <w:color w:val="000000"/>
              </w:rPr>
              <w:t>Deep burial diagenesis and reservoir quality evolution of high-temperature, high-pressure sandstones</w:t>
            </w:r>
            <w:r>
              <w:rPr>
                <w:rFonts w:hint="eastAsia" w:ascii="Times New Roman" w:hAnsi="Times New Roman" w:cs="Times New Roman"/>
                <w:color w:val="000000"/>
              </w:rPr>
              <w:t>:</w:t>
            </w:r>
            <w:r>
              <w:t xml:space="preserve"> </w:t>
            </w:r>
            <w:r>
              <w:rPr>
                <w:rFonts w:ascii="Times New Roman" w:hAnsi="Times New Roman" w:cs="Times New Roman"/>
                <w:color w:val="000000"/>
              </w:rPr>
              <w:t>Examples from</w:t>
            </w:r>
            <w:r>
              <w:rPr>
                <w:rFonts w:hint="eastAsia" w:ascii="Times New Roman" w:hAnsi="Times New Roman" w:cs="Times New Roman"/>
                <w:color w:val="000000"/>
              </w:rPr>
              <w:t xml:space="preserve"> </w:t>
            </w:r>
            <w:r>
              <w:rPr>
                <w:rFonts w:ascii="Times New Roman" w:hAnsi="Times New Roman" w:cs="Times New Roman"/>
                <w:color w:val="000000"/>
              </w:rPr>
              <w:t>Lower Cretaceous Bashijiqike</w:t>
            </w:r>
            <w:r>
              <w:rPr>
                <w:rFonts w:hint="eastAsia" w:ascii="Times New Roman" w:hAnsi="Times New Roman" w:cs="Times New Roman"/>
                <w:color w:val="000000"/>
              </w:rPr>
              <w:t xml:space="preserve"> </w:t>
            </w:r>
            <w:r>
              <w:rPr>
                <w:rFonts w:ascii="Times New Roman" w:hAnsi="Times New Roman" w:cs="Times New Roman"/>
                <w:color w:val="000000"/>
              </w:rPr>
              <w:t>Formation in Keshen area,</w:t>
            </w:r>
            <w:r>
              <w:rPr>
                <w:rFonts w:hint="eastAsia" w:ascii="Times New Roman" w:hAnsi="Times New Roman" w:cs="Times New Roman"/>
                <w:color w:val="000000"/>
              </w:rPr>
              <w:t xml:space="preserve"> </w:t>
            </w:r>
            <w:r>
              <w:rPr>
                <w:rFonts w:ascii="Times New Roman" w:hAnsi="Times New Roman" w:cs="Times New Roman"/>
                <w:color w:val="000000"/>
              </w:rPr>
              <w:t>Kuqa depression, Tarim basin</w:t>
            </w:r>
            <w:r>
              <w:rPr>
                <w:rFonts w:hint="eastAsia" w:ascii="Times New Roman" w:hAnsi="Times New Roman" w:cs="Times New Roman"/>
                <w:color w:val="000000"/>
              </w:rPr>
              <w:t xml:space="preserve"> </w:t>
            </w:r>
            <w:r>
              <w:rPr>
                <w:rFonts w:ascii="Times New Roman" w:hAnsi="Times New Roman" w:cs="Times New Roman"/>
                <w:color w:val="000000"/>
              </w:rPr>
              <w:t>of China</w:t>
            </w:r>
          </w:p>
        </w:tc>
        <w:tc>
          <w:tcPr>
            <w:tcW w:w="2551" w:type="dxa"/>
            <w:vAlign w:val="center"/>
          </w:tcPr>
          <w:p w14:paraId="6E10F122">
            <w:pPr>
              <w:jc w:val="center"/>
              <w:rPr>
                <w:rFonts w:ascii="Times New Roman" w:hAnsi="Times New Roman" w:cs="Times New Roman"/>
                <w:color w:val="000000"/>
              </w:rPr>
            </w:pPr>
            <w:r>
              <w:rPr>
                <w:rFonts w:ascii="Times New Roman" w:hAnsi="Times New Roman" w:cs="Times New Roman"/>
                <w:color w:val="000000"/>
              </w:rPr>
              <w:t>AAPG Bulletin</w:t>
            </w:r>
          </w:p>
        </w:tc>
        <w:tc>
          <w:tcPr>
            <w:tcW w:w="1418" w:type="dxa"/>
            <w:vAlign w:val="center"/>
          </w:tcPr>
          <w:p w14:paraId="455C143D">
            <w:pPr>
              <w:jc w:val="center"/>
              <w:rPr>
                <w:rFonts w:ascii="Times New Roman" w:hAnsi="Times New Roman" w:cs="Times New Roman"/>
                <w:color w:val="000000"/>
              </w:rPr>
            </w:pPr>
            <w:r>
              <w:rPr>
                <w:rFonts w:hint="eastAsia" w:ascii="Times New Roman" w:hAnsi="Times New Roman" w:cs="Times New Roman"/>
                <w:color w:val="000000"/>
              </w:rPr>
              <w:t>2017-06-15</w:t>
            </w:r>
          </w:p>
        </w:tc>
        <w:tc>
          <w:tcPr>
            <w:tcW w:w="850" w:type="dxa"/>
            <w:vAlign w:val="center"/>
          </w:tcPr>
          <w:p w14:paraId="44A439C0">
            <w:pPr>
              <w:jc w:val="center"/>
              <w:rPr>
                <w:rFonts w:ascii="Times New Roman" w:hAnsi="Times New Roman" w:cs="Times New Roman"/>
                <w:color w:val="000000"/>
              </w:rPr>
            </w:pPr>
            <w:r>
              <w:rPr>
                <w:rFonts w:hint="eastAsia" w:ascii="Times New Roman" w:hAnsi="Times New Roman" w:cs="Times New Roman"/>
                <w:color w:val="000000"/>
              </w:rPr>
              <w:t>无</w:t>
            </w:r>
          </w:p>
        </w:tc>
        <w:tc>
          <w:tcPr>
            <w:tcW w:w="941" w:type="dxa"/>
            <w:vAlign w:val="center"/>
          </w:tcPr>
          <w:p w14:paraId="3E40634A">
            <w:pPr>
              <w:jc w:val="center"/>
              <w:rPr>
                <w:rFonts w:ascii="Times New Roman" w:hAnsi="Times New Roman" w:cs="Times New Roman"/>
                <w:color w:val="000000"/>
              </w:rPr>
            </w:pPr>
            <w:r>
              <w:rPr>
                <w:rFonts w:ascii="Times New Roman" w:hAnsi="Times New Roman" w:cs="Times New Roman"/>
                <w:color w:val="000000"/>
              </w:rPr>
              <w:t>赖锦</w:t>
            </w:r>
          </w:p>
        </w:tc>
        <w:tc>
          <w:tcPr>
            <w:tcW w:w="1469" w:type="dxa"/>
            <w:vAlign w:val="center"/>
          </w:tcPr>
          <w:p w14:paraId="12FD5562">
            <w:pPr>
              <w:jc w:val="center"/>
              <w:rPr>
                <w:rFonts w:ascii="Times New Roman" w:hAnsi="Times New Roman" w:cs="Times New Roman"/>
                <w:color w:val="000000"/>
              </w:rPr>
            </w:pPr>
            <w:r>
              <w:rPr>
                <w:rFonts w:hint="eastAsia" w:ascii="Times New Roman" w:hAnsi="Times New Roman" w:cs="Times New Roman"/>
                <w:color w:val="000000"/>
              </w:rPr>
              <w:t>赖锦，王贵文，柴毓，信毅，吴庆宽，张晓涛，孙艳慧</w:t>
            </w:r>
          </w:p>
        </w:tc>
        <w:tc>
          <w:tcPr>
            <w:tcW w:w="1618" w:type="dxa"/>
            <w:vAlign w:val="center"/>
          </w:tcPr>
          <w:p w14:paraId="5FBCF174">
            <w:pPr>
              <w:jc w:val="center"/>
              <w:rPr>
                <w:rFonts w:ascii="Times New Roman" w:hAnsi="Times New Roman" w:cs="Times New Roman"/>
                <w:color w:val="000000"/>
              </w:rPr>
            </w:pPr>
            <w:r>
              <w:rPr>
                <w:rFonts w:ascii="Times New Roman" w:hAnsi="Times New Roman" w:cs="Times New Roman"/>
                <w:color w:val="000000"/>
                <w:lang w:val="pt-BR"/>
              </w:rPr>
              <w:t>101(6):829–862</w:t>
            </w:r>
          </w:p>
        </w:tc>
        <w:tc>
          <w:tcPr>
            <w:tcW w:w="748" w:type="dxa"/>
            <w:vAlign w:val="center"/>
          </w:tcPr>
          <w:p w14:paraId="302F13D7">
            <w:pPr>
              <w:jc w:val="center"/>
              <w:rPr>
                <w:rFonts w:ascii="Times New Roman" w:hAnsi="Times New Roman" w:cs="Times New Roman"/>
                <w:color w:val="000000"/>
              </w:rPr>
            </w:pPr>
            <w:r>
              <w:rPr>
                <w:rFonts w:hint="eastAsia" w:ascii="Times New Roman" w:hAnsi="Times New Roman" w:cs="Times New Roman"/>
                <w:color w:val="000000"/>
              </w:rPr>
              <w:t>128</w:t>
            </w:r>
          </w:p>
        </w:tc>
        <w:tc>
          <w:tcPr>
            <w:tcW w:w="752" w:type="dxa"/>
            <w:vAlign w:val="center"/>
          </w:tcPr>
          <w:p w14:paraId="6782264B">
            <w:pPr>
              <w:jc w:val="center"/>
              <w:rPr>
                <w:rFonts w:ascii="Times New Roman" w:hAnsi="Times New Roman" w:cs="Times New Roman"/>
                <w:color w:val="000000"/>
              </w:rPr>
            </w:pPr>
            <w:r>
              <w:rPr>
                <w:rFonts w:hint="eastAsia" w:ascii="Times New Roman" w:hAnsi="Times New Roman" w:cs="Times New Roman"/>
                <w:color w:val="000000"/>
              </w:rPr>
              <w:t>155</w:t>
            </w:r>
          </w:p>
        </w:tc>
        <w:tc>
          <w:tcPr>
            <w:tcW w:w="1239" w:type="dxa"/>
            <w:vAlign w:val="center"/>
          </w:tcPr>
          <w:p w14:paraId="66A9742A">
            <w:pPr>
              <w:jc w:val="center"/>
              <w:rPr>
                <w:rFonts w:ascii="Times New Roman" w:hAnsi="Times New Roman" w:cs="Times New Roman"/>
              </w:rPr>
            </w:pPr>
            <w:r>
              <w:rPr>
                <w:rFonts w:ascii="Times New Roman" w:hAnsi="Times New Roman" w:cs="Times New Roman"/>
              </w:rPr>
              <w:t>是</w:t>
            </w:r>
          </w:p>
        </w:tc>
      </w:tr>
      <w:tr w14:paraId="6F7A4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748" w:type="dxa"/>
            <w:vAlign w:val="center"/>
          </w:tcPr>
          <w:p w14:paraId="07FFD8DE">
            <w:pPr>
              <w:jc w:val="center"/>
              <w:rPr>
                <w:color w:val="000000"/>
              </w:rPr>
            </w:pPr>
            <w:r>
              <w:rPr>
                <w:rFonts w:ascii="宋体" w:hAnsi="宋体"/>
                <w:szCs w:val="21"/>
              </w:rPr>
              <w:t>5</w:t>
            </w:r>
          </w:p>
        </w:tc>
        <w:tc>
          <w:tcPr>
            <w:tcW w:w="2268" w:type="dxa"/>
            <w:vAlign w:val="center"/>
          </w:tcPr>
          <w:p w14:paraId="52D2DC99">
            <w:pPr>
              <w:jc w:val="center"/>
              <w:rPr>
                <w:rFonts w:ascii="Times New Roman" w:hAnsi="Times New Roman" w:cs="Times New Roman"/>
                <w:color w:val="000000"/>
              </w:rPr>
            </w:pPr>
            <w:r>
              <w:rPr>
                <w:rFonts w:ascii="Times New Roman" w:hAnsi="Times New Roman" w:cs="Times New Roman"/>
                <w:color w:val="000000"/>
              </w:rPr>
              <w:t>A review on pore structure characterization in tight sandstones</w:t>
            </w:r>
          </w:p>
        </w:tc>
        <w:tc>
          <w:tcPr>
            <w:tcW w:w="2551" w:type="dxa"/>
            <w:vAlign w:val="center"/>
          </w:tcPr>
          <w:p w14:paraId="552498A6">
            <w:pPr>
              <w:jc w:val="center"/>
              <w:rPr>
                <w:rFonts w:ascii="Times New Roman" w:hAnsi="Times New Roman" w:cs="Times New Roman"/>
                <w:color w:val="000000"/>
              </w:rPr>
            </w:pPr>
            <w:r>
              <w:rPr>
                <w:rFonts w:ascii="Times New Roman" w:hAnsi="Times New Roman" w:cs="Times New Roman"/>
                <w:color w:val="000000"/>
              </w:rPr>
              <w:t>Earth-Science Reviews</w:t>
            </w:r>
          </w:p>
        </w:tc>
        <w:tc>
          <w:tcPr>
            <w:tcW w:w="1418" w:type="dxa"/>
            <w:vAlign w:val="center"/>
          </w:tcPr>
          <w:p w14:paraId="7E318967">
            <w:pPr>
              <w:jc w:val="center"/>
              <w:rPr>
                <w:rFonts w:ascii="Times New Roman" w:hAnsi="Times New Roman" w:cs="Times New Roman"/>
                <w:color w:val="000000"/>
              </w:rPr>
            </w:pPr>
            <w:r>
              <w:rPr>
                <w:rFonts w:ascii="Times New Roman" w:hAnsi="Times New Roman" w:cs="Times New Roman"/>
                <w:color w:val="000000"/>
              </w:rPr>
              <w:t>2018-01-15</w:t>
            </w:r>
          </w:p>
        </w:tc>
        <w:tc>
          <w:tcPr>
            <w:tcW w:w="850" w:type="dxa"/>
            <w:vAlign w:val="center"/>
          </w:tcPr>
          <w:p w14:paraId="702E80A4">
            <w:pPr>
              <w:jc w:val="center"/>
              <w:rPr>
                <w:rFonts w:ascii="Times New Roman" w:hAnsi="Times New Roman" w:cs="Times New Roman"/>
                <w:color w:val="000000"/>
              </w:rPr>
            </w:pPr>
            <w:r>
              <w:rPr>
                <w:rFonts w:ascii="Times New Roman" w:hAnsi="Times New Roman" w:cs="Times New Roman"/>
                <w:color w:val="000000"/>
              </w:rPr>
              <w:t>赖锦，王贵文</w:t>
            </w:r>
          </w:p>
        </w:tc>
        <w:tc>
          <w:tcPr>
            <w:tcW w:w="941" w:type="dxa"/>
            <w:vAlign w:val="center"/>
          </w:tcPr>
          <w:p w14:paraId="58FB1A0B">
            <w:pPr>
              <w:jc w:val="center"/>
              <w:rPr>
                <w:rFonts w:ascii="Times New Roman" w:hAnsi="Times New Roman" w:cs="Times New Roman"/>
                <w:color w:val="000000"/>
              </w:rPr>
            </w:pPr>
            <w:r>
              <w:rPr>
                <w:rFonts w:ascii="Times New Roman" w:hAnsi="Times New Roman" w:cs="Times New Roman"/>
                <w:color w:val="000000"/>
              </w:rPr>
              <w:t>赖锦</w:t>
            </w:r>
          </w:p>
        </w:tc>
        <w:tc>
          <w:tcPr>
            <w:tcW w:w="1469" w:type="dxa"/>
            <w:vAlign w:val="center"/>
          </w:tcPr>
          <w:p w14:paraId="66EF864F">
            <w:pPr>
              <w:jc w:val="center"/>
              <w:rPr>
                <w:rFonts w:ascii="Times New Roman" w:hAnsi="Times New Roman" w:cs="Times New Roman"/>
                <w:color w:val="000000"/>
              </w:rPr>
            </w:pPr>
            <w:r>
              <w:rPr>
                <w:rFonts w:ascii="Times New Roman" w:hAnsi="Times New Roman" w:cs="Times New Roman"/>
                <w:color w:val="000000"/>
              </w:rPr>
              <w:t>赖锦，王贵文，王梓媛，陈晶，庞小娇，王抒忱，周正龙，何智博，秦子强，范旭强</w:t>
            </w:r>
          </w:p>
        </w:tc>
        <w:tc>
          <w:tcPr>
            <w:tcW w:w="1618" w:type="dxa"/>
            <w:vAlign w:val="center"/>
          </w:tcPr>
          <w:p w14:paraId="0AA16C3D">
            <w:pPr>
              <w:jc w:val="center"/>
              <w:rPr>
                <w:rFonts w:ascii="Times New Roman" w:hAnsi="Times New Roman" w:cs="Times New Roman"/>
                <w:color w:val="000000"/>
              </w:rPr>
            </w:pPr>
            <w:r>
              <w:rPr>
                <w:rFonts w:ascii="Times New Roman" w:hAnsi="Times New Roman" w:cs="Times New Roman"/>
                <w:color w:val="000000"/>
              </w:rPr>
              <w:t>177:436-457</w:t>
            </w:r>
          </w:p>
        </w:tc>
        <w:tc>
          <w:tcPr>
            <w:tcW w:w="748" w:type="dxa"/>
            <w:vAlign w:val="center"/>
          </w:tcPr>
          <w:p w14:paraId="05B1D7DD">
            <w:pPr>
              <w:jc w:val="center"/>
              <w:rPr>
                <w:rFonts w:ascii="Times New Roman" w:hAnsi="Times New Roman" w:cs="Times New Roman"/>
                <w:color w:val="000000"/>
              </w:rPr>
            </w:pPr>
            <w:r>
              <w:rPr>
                <w:rFonts w:hint="eastAsia" w:ascii="Times New Roman" w:hAnsi="Times New Roman" w:cs="Times New Roman"/>
                <w:color w:val="000000"/>
              </w:rPr>
              <w:t>549</w:t>
            </w:r>
          </w:p>
        </w:tc>
        <w:tc>
          <w:tcPr>
            <w:tcW w:w="752" w:type="dxa"/>
            <w:vAlign w:val="center"/>
          </w:tcPr>
          <w:p w14:paraId="79283B02">
            <w:pPr>
              <w:jc w:val="center"/>
              <w:rPr>
                <w:rFonts w:ascii="Times New Roman" w:hAnsi="Times New Roman" w:cs="Times New Roman"/>
                <w:color w:val="000000"/>
              </w:rPr>
            </w:pPr>
            <w:r>
              <w:rPr>
                <w:rFonts w:hint="eastAsia" w:ascii="Times New Roman" w:hAnsi="Times New Roman" w:cs="Times New Roman"/>
                <w:color w:val="000000"/>
              </w:rPr>
              <w:t>620</w:t>
            </w:r>
          </w:p>
        </w:tc>
        <w:tc>
          <w:tcPr>
            <w:tcW w:w="1239" w:type="dxa"/>
            <w:vAlign w:val="center"/>
          </w:tcPr>
          <w:p w14:paraId="3D6228E5">
            <w:pPr>
              <w:jc w:val="center"/>
              <w:rPr>
                <w:rFonts w:ascii="Times New Roman" w:hAnsi="Times New Roman" w:cs="Times New Roman"/>
              </w:rPr>
            </w:pPr>
            <w:r>
              <w:rPr>
                <w:rFonts w:ascii="Times New Roman" w:hAnsi="Times New Roman" w:cs="Times New Roman"/>
              </w:rPr>
              <w:t>是</w:t>
            </w:r>
          </w:p>
        </w:tc>
      </w:tr>
      <w:tr w14:paraId="3B859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11863" w:type="dxa"/>
            <w:gridSpan w:val="8"/>
            <w:vAlign w:val="center"/>
          </w:tcPr>
          <w:p w14:paraId="5B5BCD9F">
            <w:pPr>
              <w:jc w:val="center"/>
              <w:rPr>
                <w:rFonts w:ascii="Times New Roman" w:hAnsi="Times New Roman" w:cs="Times New Roman"/>
                <w:color w:val="000000"/>
              </w:rPr>
            </w:pPr>
            <w:r>
              <w:rPr>
                <w:rFonts w:ascii="Times New Roman" w:hAnsi="Times New Roman" w:cs="Times New Roman"/>
                <w:color w:val="000000"/>
              </w:rPr>
              <w:t>合　　计</w:t>
            </w:r>
          </w:p>
        </w:tc>
        <w:tc>
          <w:tcPr>
            <w:tcW w:w="748" w:type="dxa"/>
            <w:vAlign w:val="center"/>
          </w:tcPr>
          <w:p w14:paraId="10070FA6">
            <w:pPr>
              <w:jc w:val="center"/>
              <w:rPr>
                <w:rFonts w:ascii="Times New Roman" w:hAnsi="Times New Roman" w:cs="Times New Roman"/>
                <w:color w:val="000000"/>
              </w:rPr>
            </w:pPr>
            <w:r>
              <w:rPr>
                <w:rFonts w:ascii="Times New Roman" w:hAnsi="Times New Roman" w:cs="Times New Roman"/>
                <w:color w:val="000000"/>
              </w:rPr>
              <w:t>913</w:t>
            </w:r>
          </w:p>
        </w:tc>
        <w:tc>
          <w:tcPr>
            <w:tcW w:w="752" w:type="dxa"/>
            <w:vAlign w:val="center"/>
          </w:tcPr>
          <w:p w14:paraId="09C32B05">
            <w:pPr>
              <w:jc w:val="center"/>
              <w:rPr>
                <w:rFonts w:ascii="Times New Roman" w:hAnsi="Times New Roman" w:cs="Times New Roman"/>
                <w:color w:val="000000"/>
              </w:rPr>
            </w:pPr>
            <w:r>
              <w:rPr>
                <w:rFonts w:ascii="Times New Roman" w:hAnsi="Times New Roman" w:cs="Times New Roman"/>
                <w:color w:val="000000"/>
              </w:rPr>
              <w:t>1075</w:t>
            </w:r>
          </w:p>
        </w:tc>
        <w:tc>
          <w:tcPr>
            <w:tcW w:w="1239" w:type="dxa"/>
            <w:vAlign w:val="center"/>
          </w:tcPr>
          <w:p w14:paraId="2E546D34">
            <w:pPr>
              <w:jc w:val="center"/>
              <w:rPr>
                <w:color w:val="000000"/>
              </w:rPr>
            </w:pPr>
          </w:p>
        </w:tc>
      </w:tr>
      <w:bookmarkEnd w:id="1"/>
    </w:tbl>
    <w:p w14:paraId="176AFAD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137C2"/>
    <w:multiLevelType w:val="singleLevel"/>
    <w:tmpl w:val="B54137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2NmMTdiODM1NGVkMTBkZjJjZjQ1N2RjYTI2N2EifQ=="/>
  </w:docVars>
  <w:rsids>
    <w:rsidRoot w:val="70A42263"/>
    <w:rsid w:val="00082D59"/>
    <w:rsid w:val="000C519D"/>
    <w:rsid w:val="001C0C88"/>
    <w:rsid w:val="001E7937"/>
    <w:rsid w:val="00275C74"/>
    <w:rsid w:val="00285DA4"/>
    <w:rsid w:val="002B5B81"/>
    <w:rsid w:val="002C4D13"/>
    <w:rsid w:val="002C53F2"/>
    <w:rsid w:val="003336C5"/>
    <w:rsid w:val="003619E2"/>
    <w:rsid w:val="00394633"/>
    <w:rsid w:val="003D172D"/>
    <w:rsid w:val="00413DB5"/>
    <w:rsid w:val="00436E42"/>
    <w:rsid w:val="00441F31"/>
    <w:rsid w:val="00464FF1"/>
    <w:rsid w:val="00466BAE"/>
    <w:rsid w:val="00501948"/>
    <w:rsid w:val="00543104"/>
    <w:rsid w:val="00572296"/>
    <w:rsid w:val="005C1B37"/>
    <w:rsid w:val="005E0466"/>
    <w:rsid w:val="005E12B6"/>
    <w:rsid w:val="00603EB0"/>
    <w:rsid w:val="00660B78"/>
    <w:rsid w:val="00746C43"/>
    <w:rsid w:val="00773E4B"/>
    <w:rsid w:val="00777A1F"/>
    <w:rsid w:val="008013D8"/>
    <w:rsid w:val="00872AB0"/>
    <w:rsid w:val="008B7C9C"/>
    <w:rsid w:val="009311EE"/>
    <w:rsid w:val="00984F9D"/>
    <w:rsid w:val="009A10D8"/>
    <w:rsid w:val="00B2165D"/>
    <w:rsid w:val="00B42CC0"/>
    <w:rsid w:val="00C12E3B"/>
    <w:rsid w:val="00CA3A5D"/>
    <w:rsid w:val="00D555A8"/>
    <w:rsid w:val="00D56B6B"/>
    <w:rsid w:val="00D91750"/>
    <w:rsid w:val="00DC51A9"/>
    <w:rsid w:val="00E054D0"/>
    <w:rsid w:val="00E54B17"/>
    <w:rsid w:val="00F11952"/>
    <w:rsid w:val="00F14744"/>
    <w:rsid w:val="00F81CC4"/>
    <w:rsid w:val="00FF2728"/>
    <w:rsid w:val="138B3989"/>
    <w:rsid w:val="70A42263"/>
    <w:rsid w:val="72B5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10"/>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26E5" w:themeColor="hyperlink"/>
      <w:u w:val="single"/>
      <w14:textFill>
        <w14:solidFill>
          <w14:schemeClr w14:val="hlink"/>
        </w14:solidFill>
      </w14:textFill>
    </w:rPr>
  </w:style>
  <w:style w:type="paragraph" w:styleId="8">
    <w:name w:val="List Paragraph"/>
    <w:basedOn w:val="1"/>
    <w:unhideWhenUsed/>
    <w:uiPriority w:val="99"/>
    <w:pPr>
      <w:ind w:firstLine="420" w:firstLineChars="200"/>
    </w:pPr>
  </w:style>
  <w:style w:type="character" w:customStyle="1" w:styleId="9">
    <w:name w:val="Unresolved Mention"/>
    <w:basedOn w:val="6"/>
    <w:semiHidden/>
    <w:unhideWhenUsed/>
    <w:qFormat/>
    <w:uiPriority w:val="99"/>
    <w:rPr>
      <w:color w:val="605E5C"/>
      <w:shd w:val="clear" w:color="auto" w:fill="E1DFDD"/>
    </w:rPr>
  </w:style>
  <w:style w:type="character" w:customStyle="1" w:styleId="10">
    <w:name w:val="页眉 字符"/>
    <w:basedOn w:val="6"/>
    <w:link w:val="3"/>
    <w:uiPriority w:val="0"/>
    <w:rPr>
      <w:rFonts w:asciiTheme="minorHAnsi" w:hAnsiTheme="minorHAnsi" w:eastAsiaTheme="minorEastAsia" w:cstheme="minorBidi"/>
      <w:kern w:val="2"/>
      <w:sz w:val="18"/>
      <w:szCs w:val="18"/>
    </w:rPr>
  </w:style>
  <w:style w:type="character" w:customStyle="1" w:styleId="11">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571</Words>
  <Characters>618</Characters>
  <Lines>116</Lines>
  <Paragraphs>85</Paragraphs>
  <TotalTime>61</TotalTime>
  <ScaleCrop>false</ScaleCrop>
  <LinksUpToDate>false</LinksUpToDate>
  <CharactersWithSpaces>622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2025-06-16T02:28:00Z</dcterms:created>
  <dc:creator>王竹君</dc:creator>
  <cp:lastModifiedBy>王竹君</cp:lastModifiedBy>
  <dcterms:modified xsi:type="dcterms:W3CDTF">2025-07-07T00:36:15Z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C860F2ED776E4706ABCB5B6912DBACE4_13</vt:lpwstr>
  </property>
  <property fmtid="{D5CDD505-2E9C-101B-9397-08002B2CF9AE}" pid="4" name="GrammarlyDocumentId">
    <vt:lpwstr>ebb105f0-6446-4027-83ae-6c7c3187aeb1</vt:lpwstr>
  </property>
</Properties>
</file>