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28691"/>
      <w:bookmarkStart w:id="2" w:name="_Toc415842354"/>
      <w:bookmarkStart w:id="3" w:name="_Toc41515001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张颢宸1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海洋油气工程第一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张颢宸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张颢宸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本科</w:t>
      </w:r>
      <w:r>
        <w:rPr>
          <w:rFonts w:hint="eastAsia" w:asciiTheme="minorEastAsia" w:hAnsiTheme="minorEastAsia"/>
          <w:sz w:val="24"/>
          <w:szCs w:val="24"/>
        </w:rPr>
        <w:t>学历，曾获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校一等奖学金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郭海睿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贺帅铭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郭海睿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贺帅铭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均通过结课考试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海洋油气工程第一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35547C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B2C6B46"/>
    <w:rsid w:val="3FF81EE1"/>
    <w:rsid w:val="4BDEE8A6"/>
    <w:rsid w:val="529A12A8"/>
    <w:rsid w:val="57D572CE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478</Words>
  <Characters>516</Characters>
  <Lines>3</Lines>
  <Paragraphs>1</Paragraphs>
  <TotalTime>0</TotalTime>
  <ScaleCrop>false</ScaleCrop>
  <LinksUpToDate>false</LinksUpToDate>
  <CharactersWithSpaces>558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2015-04-30T01:03:00Z</dcterms:created>
  <dc:creator>User</dc:creator>
  <cp:lastModifiedBy>ABU</cp:lastModifiedBy>
  <dcterms:modified xsi:type="dcterms:W3CDTF">2024-11-19T11:50:38Z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09267A5F54CF0666AC133B672D9BA43D_43</vt:lpwstr>
  </property>
</Properties>
</file>